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F4" w:rsidRPr="006342C2" w:rsidRDefault="00525CF4" w:rsidP="00525CF4">
      <w:pPr>
        <w:tabs>
          <w:tab w:val="right" w:pos="10080"/>
        </w:tabs>
        <w:jc w:val="center"/>
        <w:rPr>
          <w:rFonts w:cs="Latha"/>
          <w:b/>
          <w:szCs w:val="28"/>
        </w:rPr>
      </w:pPr>
    </w:p>
    <w:p w:rsidR="006609C9" w:rsidRPr="004A143F" w:rsidRDefault="006609C9" w:rsidP="006609C9">
      <w:pPr>
        <w:rPr>
          <w:rFonts w:cs="Times New Roman"/>
          <w:b/>
          <w:szCs w:val="22"/>
          <w:u w:val="single"/>
        </w:rPr>
      </w:pPr>
    </w:p>
    <w:p w:rsidR="00525CF4" w:rsidRPr="004A143F" w:rsidRDefault="00525CF4" w:rsidP="00260970">
      <w:pPr>
        <w:widowControl w:val="0"/>
        <w:autoSpaceDE w:val="0"/>
        <w:autoSpaceDN w:val="0"/>
        <w:adjustRightInd w:val="0"/>
        <w:outlineLvl w:val="0"/>
        <w:rPr>
          <w:rFonts w:cs="Times New Roman"/>
          <w:b/>
          <w:szCs w:val="22"/>
        </w:rPr>
      </w:pPr>
      <w:r w:rsidRPr="004A143F">
        <w:rPr>
          <w:rFonts w:cs="Times New Roman"/>
          <w:b/>
          <w:szCs w:val="22"/>
        </w:rPr>
        <w:t>Motivational Counseling Strategies for the Herbalist</w:t>
      </w:r>
    </w:p>
    <w:p w:rsidR="00BA6752" w:rsidRPr="004A143F" w:rsidRDefault="00260970" w:rsidP="00525CF4">
      <w:pPr>
        <w:widowControl w:val="0"/>
        <w:autoSpaceDE w:val="0"/>
        <w:autoSpaceDN w:val="0"/>
        <w:adjustRightInd w:val="0"/>
        <w:rPr>
          <w:rFonts w:cs="Times New Roman"/>
          <w:szCs w:val="22"/>
        </w:rPr>
      </w:pPr>
      <w:r w:rsidRPr="004A143F">
        <w:rPr>
          <w:rFonts w:cs="Times New Roman"/>
          <w:szCs w:val="22"/>
        </w:rPr>
        <w:t>Rebecca Snow, MS, CNS, LN, RH(AHG)</w:t>
      </w:r>
    </w:p>
    <w:p w:rsidR="00BA6752" w:rsidRPr="004A143F" w:rsidRDefault="00BA6752" w:rsidP="00525CF4">
      <w:pPr>
        <w:widowControl w:val="0"/>
        <w:autoSpaceDE w:val="0"/>
        <w:autoSpaceDN w:val="0"/>
        <w:adjustRightInd w:val="0"/>
        <w:rPr>
          <w:rFonts w:cs="Times New Roman"/>
          <w:szCs w:val="22"/>
        </w:rPr>
      </w:pPr>
    </w:p>
    <w:p w:rsidR="00260970" w:rsidRPr="004A143F" w:rsidRDefault="00BA6752" w:rsidP="00525CF4">
      <w:pPr>
        <w:widowControl w:val="0"/>
        <w:autoSpaceDE w:val="0"/>
        <w:autoSpaceDN w:val="0"/>
        <w:adjustRightInd w:val="0"/>
        <w:rPr>
          <w:rFonts w:cs="Times New Roman"/>
          <w:i/>
          <w:szCs w:val="22"/>
        </w:rPr>
      </w:pPr>
      <w:r w:rsidRPr="004A143F">
        <w:rPr>
          <w:rFonts w:cs="Times New Roman"/>
          <w:i/>
          <w:szCs w:val="22"/>
        </w:rPr>
        <w:t>First the word - Then the herb – Lastly the knife.  -Asclepius of Thessaly</w:t>
      </w:r>
    </w:p>
    <w:p w:rsidR="00A111FA" w:rsidRPr="004A143F" w:rsidRDefault="00A111FA" w:rsidP="00525CF4">
      <w:pPr>
        <w:widowControl w:val="0"/>
        <w:autoSpaceDE w:val="0"/>
        <w:autoSpaceDN w:val="0"/>
        <w:adjustRightInd w:val="0"/>
        <w:rPr>
          <w:rFonts w:cs="Times New Roman"/>
          <w:szCs w:val="22"/>
        </w:rPr>
      </w:pPr>
    </w:p>
    <w:p w:rsidR="00026401" w:rsidRPr="004A143F" w:rsidRDefault="00904487" w:rsidP="00525CF4">
      <w:pPr>
        <w:widowControl w:val="0"/>
        <w:autoSpaceDE w:val="0"/>
        <w:autoSpaceDN w:val="0"/>
        <w:adjustRightInd w:val="0"/>
        <w:rPr>
          <w:rFonts w:cs="Times New Roman"/>
          <w:szCs w:val="22"/>
        </w:rPr>
      </w:pPr>
      <w:r w:rsidRPr="004A143F">
        <w:rPr>
          <w:rFonts w:cs="Times New Roman"/>
          <w:szCs w:val="22"/>
        </w:rPr>
        <w:t xml:space="preserve">There are </w:t>
      </w:r>
      <w:r w:rsidR="001B168C" w:rsidRPr="004A143F">
        <w:rPr>
          <w:rFonts w:cs="Times New Roman"/>
          <w:szCs w:val="22"/>
        </w:rPr>
        <w:t>two</w:t>
      </w:r>
      <w:r w:rsidR="0052789B" w:rsidRPr="004A143F">
        <w:rPr>
          <w:rFonts w:cs="Times New Roman"/>
          <w:szCs w:val="22"/>
        </w:rPr>
        <w:t xml:space="preserve"> </w:t>
      </w:r>
      <w:r w:rsidR="00026401" w:rsidRPr="004A143F">
        <w:rPr>
          <w:rFonts w:cs="Times New Roman"/>
          <w:szCs w:val="22"/>
        </w:rPr>
        <w:t>assumptions</w:t>
      </w:r>
      <w:r w:rsidR="00A111FA" w:rsidRPr="004A143F">
        <w:rPr>
          <w:rFonts w:cs="Times New Roman"/>
          <w:szCs w:val="22"/>
        </w:rPr>
        <w:t xml:space="preserve"> practitioners </w:t>
      </w:r>
      <w:r w:rsidR="001B168C" w:rsidRPr="004A143F">
        <w:rPr>
          <w:rFonts w:cs="Times New Roman"/>
          <w:szCs w:val="22"/>
        </w:rPr>
        <w:t xml:space="preserve">commonly </w:t>
      </w:r>
      <w:r w:rsidR="00A111FA" w:rsidRPr="004A143F">
        <w:rPr>
          <w:rFonts w:cs="Times New Roman"/>
          <w:szCs w:val="22"/>
        </w:rPr>
        <w:t>make</w:t>
      </w:r>
      <w:r w:rsidR="0052789B" w:rsidRPr="004A143F">
        <w:rPr>
          <w:rFonts w:cs="Times New Roman"/>
          <w:szCs w:val="22"/>
        </w:rPr>
        <w:t xml:space="preserve"> </w:t>
      </w:r>
      <w:r w:rsidRPr="004A143F">
        <w:rPr>
          <w:rFonts w:cs="Times New Roman"/>
          <w:szCs w:val="22"/>
        </w:rPr>
        <w:t xml:space="preserve">about </w:t>
      </w:r>
      <w:r w:rsidR="00026401" w:rsidRPr="004A143F">
        <w:rPr>
          <w:rFonts w:cs="Times New Roman"/>
          <w:szCs w:val="22"/>
        </w:rPr>
        <w:t>patient</w:t>
      </w:r>
      <w:r w:rsidR="001B168C" w:rsidRPr="004A143F">
        <w:rPr>
          <w:rFonts w:cs="Times New Roman"/>
          <w:szCs w:val="22"/>
        </w:rPr>
        <w:t>s</w:t>
      </w:r>
      <w:r w:rsidR="00026401" w:rsidRPr="004A143F">
        <w:rPr>
          <w:rFonts w:cs="Times New Roman"/>
          <w:szCs w:val="22"/>
        </w:rPr>
        <w:t xml:space="preserve"> who </w:t>
      </w:r>
      <w:r w:rsidR="001B168C" w:rsidRPr="004A143F">
        <w:rPr>
          <w:rFonts w:cs="Times New Roman"/>
          <w:szCs w:val="22"/>
        </w:rPr>
        <w:t>seek</w:t>
      </w:r>
      <w:r w:rsidR="00026401" w:rsidRPr="004A143F">
        <w:rPr>
          <w:rFonts w:cs="Times New Roman"/>
          <w:szCs w:val="22"/>
        </w:rPr>
        <w:t xml:space="preserve"> help with a heal</w:t>
      </w:r>
      <w:r w:rsidR="00933DDD" w:rsidRPr="004A143F">
        <w:rPr>
          <w:rFonts w:cs="Times New Roman"/>
          <w:szCs w:val="22"/>
        </w:rPr>
        <w:t xml:space="preserve">th concern </w:t>
      </w:r>
      <w:r w:rsidRPr="004A143F">
        <w:rPr>
          <w:rFonts w:cs="Times New Roman"/>
          <w:szCs w:val="22"/>
        </w:rPr>
        <w:t>1) the patient values health and</w:t>
      </w:r>
      <w:r w:rsidR="00933DDD" w:rsidRPr="004A143F">
        <w:rPr>
          <w:rFonts w:cs="Times New Roman"/>
          <w:szCs w:val="22"/>
        </w:rPr>
        <w:t xml:space="preserve"> 2</w:t>
      </w:r>
      <w:r w:rsidR="00026401" w:rsidRPr="004A143F">
        <w:rPr>
          <w:rFonts w:cs="Times New Roman"/>
          <w:szCs w:val="22"/>
        </w:rPr>
        <w:t>) the patient is</w:t>
      </w:r>
      <w:r w:rsidR="00451EA9" w:rsidRPr="004A143F">
        <w:rPr>
          <w:rFonts w:cs="Times New Roman"/>
          <w:szCs w:val="22"/>
        </w:rPr>
        <w:t xml:space="preserve"> ready to change.</w:t>
      </w:r>
    </w:p>
    <w:p w:rsidR="00026401" w:rsidRPr="004A143F" w:rsidRDefault="00026401" w:rsidP="00525CF4">
      <w:pPr>
        <w:widowControl w:val="0"/>
        <w:autoSpaceDE w:val="0"/>
        <w:autoSpaceDN w:val="0"/>
        <w:adjustRightInd w:val="0"/>
        <w:rPr>
          <w:rFonts w:cs="Times New Roman"/>
          <w:szCs w:val="22"/>
        </w:rPr>
      </w:pPr>
    </w:p>
    <w:p w:rsidR="00246C57" w:rsidRPr="004A143F" w:rsidRDefault="00C765A3" w:rsidP="00026401">
      <w:pPr>
        <w:widowControl w:val="0"/>
        <w:autoSpaceDE w:val="0"/>
        <w:autoSpaceDN w:val="0"/>
        <w:adjustRightInd w:val="0"/>
        <w:rPr>
          <w:rFonts w:cs="Helvetica"/>
        </w:rPr>
      </w:pPr>
      <w:r w:rsidRPr="004A143F">
        <w:rPr>
          <w:rFonts w:cs="Times New Roman"/>
          <w:szCs w:val="22"/>
        </w:rPr>
        <w:t>Studies of</w:t>
      </w:r>
      <w:r w:rsidR="00026401" w:rsidRPr="004A143F">
        <w:rPr>
          <w:rFonts w:cs="Times New Roman"/>
          <w:szCs w:val="22"/>
        </w:rPr>
        <w:t xml:space="preserve"> patient adherence consistently demonstrate that lifestyle changes </w:t>
      </w:r>
      <w:r w:rsidR="00F72464" w:rsidRPr="004A143F">
        <w:rPr>
          <w:rFonts w:cs="Times New Roman"/>
          <w:szCs w:val="22"/>
        </w:rPr>
        <w:t>have</w:t>
      </w:r>
      <w:r w:rsidRPr="004A143F">
        <w:rPr>
          <w:rFonts w:cs="Times New Roman"/>
          <w:szCs w:val="22"/>
        </w:rPr>
        <w:t xml:space="preserve"> low</w:t>
      </w:r>
      <w:r w:rsidR="00246C57" w:rsidRPr="004A143F">
        <w:rPr>
          <w:rFonts w:cs="Times New Roman"/>
          <w:szCs w:val="22"/>
        </w:rPr>
        <w:t>er</w:t>
      </w:r>
      <w:r w:rsidRPr="004A143F">
        <w:rPr>
          <w:rFonts w:cs="Times New Roman"/>
          <w:szCs w:val="22"/>
        </w:rPr>
        <w:t xml:space="preserve"> adherence rates</w:t>
      </w:r>
      <w:r w:rsidR="00246C57" w:rsidRPr="004A143F">
        <w:rPr>
          <w:rFonts w:cs="Times New Roman"/>
          <w:szCs w:val="22"/>
        </w:rPr>
        <w:t xml:space="preserve"> than medication use</w:t>
      </w:r>
      <w:r w:rsidR="0065187F" w:rsidRPr="004A143F">
        <w:rPr>
          <w:rFonts w:cs="Times New Roman"/>
          <w:szCs w:val="22"/>
        </w:rPr>
        <w:t xml:space="preserve"> </w:t>
      </w:r>
      <w:r w:rsidR="00F01820" w:rsidRPr="004A143F">
        <w:rPr>
          <w:rFonts w:cs="Helvetica"/>
        </w:rPr>
        <w:t xml:space="preserve">(Martin, Williams, </w:t>
      </w:r>
      <w:proofErr w:type="spellStart"/>
      <w:r w:rsidR="00F01820" w:rsidRPr="004A143F">
        <w:rPr>
          <w:rFonts w:cs="Helvetica"/>
        </w:rPr>
        <w:t>Haskard</w:t>
      </w:r>
      <w:proofErr w:type="spellEnd"/>
      <w:r w:rsidR="00F01820" w:rsidRPr="004A143F">
        <w:rPr>
          <w:rFonts w:cs="Helvetica"/>
        </w:rPr>
        <w:t xml:space="preserve">, &amp; </w:t>
      </w:r>
      <w:proofErr w:type="spellStart"/>
      <w:r w:rsidR="00F01820" w:rsidRPr="004A143F">
        <w:rPr>
          <w:rFonts w:cs="Helvetica"/>
        </w:rPr>
        <w:t>Dimatteo</w:t>
      </w:r>
      <w:proofErr w:type="spellEnd"/>
      <w:r w:rsidR="00F01820" w:rsidRPr="004A143F">
        <w:rPr>
          <w:rFonts w:cs="Helvetica"/>
        </w:rPr>
        <w:t>, 2005)</w:t>
      </w:r>
      <w:r w:rsidR="00F72464" w:rsidRPr="004A143F">
        <w:rPr>
          <w:rFonts w:cs="Helvetica"/>
        </w:rPr>
        <w:t xml:space="preserve">.  </w:t>
      </w:r>
      <w:r w:rsidR="0065187F" w:rsidRPr="004A143F">
        <w:rPr>
          <w:rFonts w:cs="Helvetica"/>
        </w:rPr>
        <w:t>For example in the Medical Outcomes Study analyzing patient adherence to disease-specific recommendations for diabetes; 91% of diabetics took the medication as prescribed, 69% recalled and followed a prescribed diabetics diet and 19% followed exercise recommendations (</w:t>
      </w:r>
      <w:proofErr w:type="spellStart"/>
      <w:r w:rsidR="0065187F" w:rsidRPr="004A143F">
        <w:rPr>
          <w:rFonts w:cs="Helvetica"/>
        </w:rPr>
        <w:t>Kravitz</w:t>
      </w:r>
      <w:proofErr w:type="spellEnd"/>
      <w:r w:rsidR="0065187F" w:rsidRPr="004A143F">
        <w:rPr>
          <w:rFonts w:cs="Helvetica"/>
        </w:rPr>
        <w:t xml:space="preserve">, Hays, </w:t>
      </w:r>
      <w:proofErr w:type="spellStart"/>
      <w:r w:rsidR="0065187F" w:rsidRPr="004A143F">
        <w:rPr>
          <w:rFonts w:cs="Helvetica"/>
        </w:rPr>
        <w:t>Sherbourne</w:t>
      </w:r>
      <w:proofErr w:type="spellEnd"/>
      <w:r w:rsidR="0065187F" w:rsidRPr="004A143F">
        <w:rPr>
          <w:rFonts w:cs="Helvetica"/>
        </w:rPr>
        <w:t xml:space="preserve">, DiMatteo, Rogers, Ordway, &amp; Greenfield, 1993).  Adherence is often correlated to the degree of suffering a patient is experiencing, more severe illnesses usually correlate to a greater willingness to make dietary and lifestyle changes </w:t>
      </w:r>
      <w:r w:rsidR="001C56C7" w:rsidRPr="004A143F">
        <w:rPr>
          <w:rFonts w:cs="Helvetica"/>
        </w:rPr>
        <w:t xml:space="preserve">(DiMatteo, 2004). </w:t>
      </w:r>
    </w:p>
    <w:p w:rsidR="00904487" w:rsidRPr="004A143F" w:rsidRDefault="00904487" w:rsidP="00026401">
      <w:pPr>
        <w:widowControl w:val="0"/>
        <w:autoSpaceDE w:val="0"/>
        <w:autoSpaceDN w:val="0"/>
        <w:adjustRightInd w:val="0"/>
        <w:rPr>
          <w:rFonts w:cs="Helvetica"/>
        </w:rPr>
      </w:pPr>
    </w:p>
    <w:p w:rsidR="004F64DE" w:rsidRPr="004A143F" w:rsidRDefault="00246C57" w:rsidP="00C765A3">
      <w:pPr>
        <w:widowControl w:val="0"/>
        <w:autoSpaceDE w:val="0"/>
        <w:autoSpaceDN w:val="0"/>
        <w:adjustRightInd w:val="0"/>
        <w:rPr>
          <w:rFonts w:cs="Helvetica"/>
        </w:rPr>
      </w:pPr>
      <w:r w:rsidRPr="004A143F">
        <w:rPr>
          <w:rFonts w:cs="Verdana"/>
        </w:rPr>
        <w:t xml:space="preserve">Looking at obesity rates and increasing incidence of preventable chronic disease in the US further illustrates the point.  </w:t>
      </w:r>
      <w:r w:rsidR="00C765A3" w:rsidRPr="004A143F">
        <w:rPr>
          <w:rFonts w:cs="Verdana"/>
        </w:rPr>
        <w:t>Compiled data from the National Health Interview Surveys, self</w:t>
      </w:r>
      <w:r w:rsidR="00C765A3" w:rsidRPr="004A143F">
        <w:rPr>
          <w:rFonts w:cs="Helvetica"/>
        </w:rPr>
        <w:t>-administered to 190,000 adults between 2002-2009, showed a steady increase in</w:t>
      </w:r>
      <w:r w:rsidR="001B168C" w:rsidRPr="004A143F">
        <w:rPr>
          <w:rFonts w:cs="Helvetica"/>
        </w:rPr>
        <w:t xml:space="preserve"> </w:t>
      </w:r>
      <w:r w:rsidRPr="004A143F">
        <w:rPr>
          <w:rFonts w:cs="Helvetica"/>
        </w:rPr>
        <w:t xml:space="preserve">lifestyle and behavior-related </w:t>
      </w:r>
      <w:r w:rsidR="001B168C" w:rsidRPr="004A143F">
        <w:rPr>
          <w:rFonts w:cs="Helvetica"/>
        </w:rPr>
        <w:t>chronic conditions</w:t>
      </w:r>
      <w:r w:rsidRPr="004A143F">
        <w:rPr>
          <w:rFonts w:cs="Helvetica"/>
        </w:rPr>
        <w:t xml:space="preserve">, </w:t>
      </w:r>
      <w:r w:rsidR="00C765A3" w:rsidRPr="004A143F">
        <w:rPr>
          <w:rFonts w:cs="Helvetica"/>
        </w:rPr>
        <w:t>“</w:t>
      </w:r>
      <w:r w:rsidR="00C765A3" w:rsidRPr="004A143F">
        <w:rPr>
          <w:rFonts w:cs="Verdana"/>
        </w:rPr>
        <w:t>30.9 million adults had 2 or more major lifestyle behavior-related chronic conditions in 2009” (</w:t>
      </w:r>
      <w:r w:rsidR="00C765A3" w:rsidRPr="004A143F">
        <w:rPr>
          <w:rFonts w:cs="Helvetica"/>
        </w:rPr>
        <w:t>Ford, Croft, Posner, Goodman, &amp; Giles, 2013, p. 4).</w:t>
      </w:r>
      <w:r w:rsidR="004F64DE" w:rsidRPr="004A143F">
        <w:rPr>
          <w:rFonts w:cs="Helvetica"/>
        </w:rPr>
        <w:t xml:space="preserve">  </w:t>
      </w:r>
    </w:p>
    <w:p w:rsidR="004F64DE" w:rsidRPr="004A143F" w:rsidRDefault="004F64DE" w:rsidP="007E59AE">
      <w:pPr>
        <w:widowControl w:val="0"/>
        <w:autoSpaceDE w:val="0"/>
        <w:autoSpaceDN w:val="0"/>
        <w:adjustRightInd w:val="0"/>
        <w:rPr>
          <w:rFonts w:cs="Times New Roman"/>
          <w:szCs w:val="22"/>
        </w:rPr>
      </w:pPr>
    </w:p>
    <w:p w:rsidR="007E59AE" w:rsidRPr="004A143F" w:rsidRDefault="007E59AE" w:rsidP="007E59AE">
      <w:pPr>
        <w:widowControl w:val="0"/>
        <w:autoSpaceDE w:val="0"/>
        <w:autoSpaceDN w:val="0"/>
        <w:adjustRightInd w:val="0"/>
        <w:rPr>
          <w:rFonts w:cs="Helvetica"/>
        </w:rPr>
      </w:pPr>
      <w:r w:rsidRPr="004A143F">
        <w:rPr>
          <w:rFonts w:cs="Times New Roman"/>
          <w:szCs w:val="22"/>
        </w:rPr>
        <w:t>Health care practitioners value health, and can wrongly assume that their pati</w:t>
      </w:r>
      <w:r w:rsidR="005249F7" w:rsidRPr="004A143F">
        <w:rPr>
          <w:rFonts w:cs="Times New Roman"/>
          <w:szCs w:val="22"/>
        </w:rPr>
        <w:t>ents value health as well.  In two</w:t>
      </w:r>
      <w:r w:rsidRPr="004A143F">
        <w:rPr>
          <w:rFonts w:cs="Times New Roman"/>
          <w:szCs w:val="22"/>
        </w:rPr>
        <w:t xml:space="preserve"> self-administered surveys of 3,000 adults, respondents identified the primary driver for their personal eating decisions.  Taste was the number one factor that influenced food choices, followed by cost, convenience and last was health (</w:t>
      </w:r>
      <w:proofErr w:type="spellStart"/>
      <w:r w:rsidRPr="004A143F">
        <w:rPr>
          <w:rFonts w:cs="Helvetica"/>
        </w:rPr>
        <w:t>Glanz</w:t>
      </w:r>
      <w:proofErr w:type="spellEnd"/>
      <w:r w:rsidRPr="004A143F">
        <w:rPr>
          <w:rFonts w:cs="Helvetica"/>
        </w:rPr>
        <w:t xml:space="preserve">, Basil, </w:t>
      </w:r>
      <w:proofErr w:type="spellStart"/>
      <w:r w:rsidRPr="004A143F">
        <w:rPr>
          <w:rFonts w:cs="Helvetica"/>
        </w:rPr>
        <w:t>Maibach</w:t>
      </w:r>
      <w:proofErr w:type="spellEnd"/>
      <w:r w:rsidRPr="004A143F">
        <w:rPr>
          <w:rFonts w:cs="Helvetica"/>
        </w:rPr>
        <w:t>, Goldberg, &amp; Snyder, 1998).</w:t>
      </w:r>
    </w:p>
    <w:p w:rsidR="004F64DE" w:rsidRPr="004A143F" w:rsidRDefault="004F64DE" w:rsidP="004F64DE">
      <w:pPr>
        <w:widowControl w:val="0"/>
        <w:autoSpaceDE w:val="0"/>
        <w:autoSpaceDN w:val="0"/>
        <w:adjustRightInd w:val="0"/>
        <w:rPr>
          <w:rFonts w:cs="Times New Roman"/>
          <w:szCs w:val="22"/>
        </w:rPr>
      </w:pPr>
    </w:p>
    <w:p w:rsidR="004F64DE" w:rsidRPr="004A143F" w:rsidRDefault="00AA49A1" w:rsidP="004F64DE">
      <w:pPr>
        <w:widowControl w:val="0"/>
        <w:autoSpaceDE w:val="0"/>
        <w:autoSpaceDN w:val="0"/>
        <w:adjustRightInd w:val="0"/>
        <w:rPr>
          <w:rFonts w:cs="Verdana"/>
          <w:szCs w:val="26"/>
        </w:rPr>
      </w:pPr>
      <w:r w:rsidRPr="004A143F">
        <w:rPr>
          <w:rFonts w:cs="Times New Roman"/>
          <w:szCs w:val="22"/>
        </w:rPr>
        <w:t>In the early 1980</w:t>
      </w:r>
      <w:r w:rsidR="004F64DE" w:rsidRPr="004A143F">
        <w:rPr>
          <w:rFonts w:cs="Times New Roman"/>
          <w:szCs w:val="22"/>
        </w:rPr>
        <w:t xml:space="preserve">s, </w:t>
      </w:r>
      <w:proofErr w:type="spellStart"/>
      <w:r w:rsidR="004F64DE" w:rsidRPr="004A143F">
        <w:rPr>
          <w:rFonts w:cs="Times New Roman"/>
          <w:szCs w:val="22"/>
        </w:rPr>
        <w:t>Proschaska</w:t>
      </w:r>
      <w:proofErr w:type="spellEnd"/>
      <w:r w:rsidR="004F64DE" w:rsidRPr="004A143F">
        <w:rPr>
          <w:rFonts w:cs="Times New Roman"/>
          <w:szCs w:val="22"/>
        </w:rPr>
        <w:t xml:space="preserve"> and </w:t>
      </w:r>
      <w:proofErr w:type="spellStart"/>
      <w:r w:rsidR="004F64DE" w:rsidRPr="004A143F">
        <w:rPr>
          <w:rFonts w:cs="Times New Roman"/>
          <w:szCs w:val="22"/>
        </w:rPr>
        <w:t>Diclemente</w:t>
      </w:r>
      <w:proofErr w:type="spellEnd"/>
      <w:r w:rsidR="004F64DE" w:rsidRPr="004A143F">
        <w:rPr>
          <w:rFonts w:cs="Times New Roman"/>
          <w:szCs w:val="22"/>
        </w:rPr>
        <w:t xml:space="preserve"> </w:t>
      </w:r>
      <w:r w:rsidR="00E005BA" w:rsidRPr="004A143F">
        <w:rPr>
          <w:rFonts w:cs="Times New Roman"/>
          <w:szCs w:val="22"/>
        </w:rPr>
        <w:t>developed</w:t>
      </w:r>
      <w:r w:rsidR="004F64DE" w:rsidRPr="004A143F">
        <w:rPr>
          <w:rFonts w:cs="Times New Roman"/>
          <w:szCs w:val="22"/>
        </w:rPr>
        <w:t xml:space="preserve"> the </w:t>
      </w:r>
      <w:proofErr w:type="spellStart"/>
      <w:r w:rsidR="004F64DE" w:rsidRPr="004A143F">
        <w:rPr>
          <w:rFonts w:cs="Times New Roman"/>
          <w:szCs w:val="22"/>
        </w:rPr>
        <w:t>Transtheoretical</w:t>
      </w:r>
      <w:proofErr w:type="spellEnd"/>
      <w:r w:rsidR="004F64DE" w:rsidRPr="004A143F">
        <w:rPr>
          <w:rFonts w:cs="Times New Roman"/>
          <w:szCs w:val="22"/>
        </w:rPr>
        <w:t xml:space="preserve"> Model of Change (TTMC), providing a new model for understanding human behavior change.  By acknowledging that change is a process and that ambivalence is a normal part of the change process, TTMC helped to radically improve addiction counseling.  According to TTMC individuals pass through various stages including </w:t>
      </w:r>
      <w:proofErr w:type="spellStart"/>
      <w:r w:rsidR="004F64DE" w:rsidRPr="004A143F">
        <w:rPr>
          <w:rFonts w:cs="Times New Roman"/>
          <w:szCs w:val="22"/>
        </w:rPr>
        <w:t>precontemplation</w:t>
      </w:r>
      <w:proofErr w:type="spellEnd"/>
      <w:r w:rsidR="004F64DE" w:rsidRPr="004A143F">
        <w:rPr>
          <w:rFonts w:cs="Times New Roman"/>
          <w:szCs w:val="22"/>
        </w:rPr>
        <w:t xml:space="preserve"> (not ready), contemplation (ambivalence), preparation (getting </w:t>
      </w:r>
      <w:r w:rsidR="00E005BA" w:rsidRPr="004A143F">
        <w:rPr>
          <w:rFonts w:cs="Times New Roman"/>
          <w:szCs w:val="22"/>
        </w:rPr>
        <w:t>ready), action, and maintenance</w:t>
      </w:r>
      <w:r w:rsidR="004F64DE" w:rsidRPr="004A143F">
        <w:rPr>
          <w:rFonts w:cs="Times New Roman"/>
          <w:szCs w:val="22"/>
        </w:rPr>
        <w:t xml:space="preserve"> (</w:t>
      </w:r>
      <w:proofErr w:type="spellStart"/>
      <w:r w:rsidR="004F64DE" w:rsidRPr="004A143F">
        <w:rPr>
          <w:rFonts w:cs="Verdana"/>
          <w:szCs w:val="26"/>
        </w:rPr>
        <w:t>Prochaska</w:t>
      </w:r>
      <w:proofErr w:type="spellEnd"/>
      <w:r w:rsidR="004F64DE" w:rsidRPr="004A143F">
        <w:rPr>
          <w:rFonts w:cs="Verdana"/>
          <w:szCs w:val="26"/>
        </w:rPr>
        <w:t xml:space="preserve"> &amp; </w:t>
      </w:r>
      <w:proofErr w:type="spellStart"/>
      <w:r w:rsidR="004F64DE" w:rsidRPr="004A143F">
        <w:rPr>
          <w:rFonts w:cs="Verdana"/>
          <w:szCs w:val="26"/>
        </w:rPr>
        <w:t>DiClemente</w:t>
      </w:r>
      <w:proofErr w:type="spellEnd"/>
      <w:r w:rsidR="004F64DE" w:rsidRPr="004A143F">
        <w:rPr>
          <w:rFonts w:cs="Verdana"/>
          <w:szCs w:val="26"/>
        </w:rPr>
        <w:t>, 1982). By identifying a client’s readiness to change, practitioners avoid assumptions and can match recommendations and suggestions to a client</w:t>
      </w:r>
      <w:r w:rsidR="00E005BA" w:rsidRPr="004A143F">
        <w:rPr>
          <w:rFonts w:cs="Verdana"/>
          <w:szCs w:val="26"/>
        </w:rPr>
        <w:t>’</w:t>
      </w:r>
      <w:r w:rsidR="004F64DE" w:rsidRPr="004A143F">
        <w:rPr>
          <w:rFonts w:cs="Verdana"/>
          <w:szCs w:val="26"/>
        </w:rPr>
        <w:t>s stage of readiness.</w:t>
      </w:r>
    </w:p>
    <w:p w:rsidR="004F64DE" w:rsidRPr="004A143F" w:rsidRDefault="004F64DE" w:rsidP="00026401">
      <w:pPr>
        <w:widowControl w:val="0"/>
        <w:autoSpaceDE w:val="0"/>
        <w:autoSpaceDN w:val="0"/>
        <w:adjustRightInd w:val="0"/>
        <w:rPr>
          <w:rFonts w:cs="Times New Roman"/>
          <w:szCs w:val="22"/>
        </w:rPr>
      </w:pPr>
    </w:p>
    <w:p w:rsidR="00E005BA" w:rsidRPr="004A143F" w:rsidRDefault="004F64DE" w:rsidP="007E59AE">
      <w:pPr>
        <w:widowControl w:val="0"/>
        <w:autoSpaceDE w:val="0"/>
        <w:autoSpaceDN w:val="0"/>
        <w:adjustRightInd w:val="0"/>
        <w:rPr>
          <w:rFonts w:cs="Times New Roman"/>
          <w:szCs w:val="22"/>
        </w:rPr>
      </w:pPr>
      <w:r w:rsidRPr="004A143F">
        <w:rPr>
          <w:rFonts w:cs="Times New Roman"/>
          <w:szCs w:val="22"/>
        </w:rPr>
        <w:t xml:space="preserve">Around the same time that TTMC </w:t>
      </w:r>
      <w:r w:rsidR="00E005BA" w:rsidRPr="004A143F">
        <w:rPr>
          <w:rFonts w:cs="Times New Roman"/>
          <w:szCs w:val="22"/>
        </w:rPr>
        <w:t>was articulated</w:t>
      </w:r>
      <w:r w:rsidRPr="004A143F">
        <w:rPr>
          <w:rFonts w:cs="Times New Roman"/>
          <w:szCs w:val="22"/>
        </w:rPr>
        <w:t xml:space="preserve">, </w:t>
      </w:r>
      <w:r w:rsidR="00E005BA" w:rsidRPr="004A143F">
        <w:rPr>
          <w:rFonts w:cs="Times New Roman"/>
          <w:szCs w:val="22"/>
        </w:rPr>
        <w:t xml:space="preserve">William </w:t>
      </w:r>
      <w:r w:rsidR="005249F7" w:rsidRPr="004A143F">
        <w:rPr>
          <w:rFonts w:cs="Times New Roman"/>
          <w:szCs w:val="22"/>
        </w:rPr>
        <w:t xml:space="preserve">Miller developed </w:t>
      </w:r>
      <w:r w:rsidR="005249F7" w:rsidRPr="004A143F">
        <w:rPr>
          <w:rFonts w:cs="Helvetica"/>
        </w:rPr>
        <w:t>a psychotherapeutic method</w:t>
      </w:r>
      <w:r w:rsidRPr="004A143F">
        <w:rPr>
          <w:rFonts w:cs="Times New Roman"/>
          <w:szCs w:val="22"/>
        </w:rPr>
        <w:t xml:space="preserve"> called Motivational Interviewing</w:t>
      </w:r>
      <w:r w:rsidR="00E005BA" w:rsidRPr="004A143F">
        <w:rPr>
          <w:rFonts w:cs="Times New Roman"/>
          <w:szCs w:val="22"/>
        </w:rPr>
        <w:t xml:space="preserve"> (MI).  </w:t>
      </w:r>
      <w:r w:rsidR="00E005BA" w:rsidRPr="004A143F">
        <w:rPr>
          <w:rFonts w:cs="Helvetica"/>
        </w:rPr>
        <w:t xml:space="preserve">The method was a client-centered interview style that avoided confrontation and placed focus on strengthening and mirroring client’s verbalized and </w:t>
      </w:r>
      <w:proofErr w:type="spellStart"/>
      <w:r w:rsidR="00E005BA" w:rsidRPr="004A143F">
        <w:rPr>
          <w:rFonts w:cs="Helvetica"/>
        </w:rPr>
        <w:t>nonverbalized</w:t>
      </w:r>
      <w:proofErr w:type="spellEnd"/>
      <w:r w:rsidR="00E005BA" w:rsidRPr="004A143F">
        <w:rPr>
          <w:rFonts w:cs="Helvetica"/>
        </w:rPr>
        <w:t xml:space="preserve"> motivation for change.  A good definition of the method is a “guiding style for enhancing intrinsic motivation to change.”  The method </w:t>
      </w:r>
      <w:r w:rsidRPr="004A143F">
        <w:rPr>
          <w:rFonts w:cs="Times New Roman"/>
          <w:szCs w:val="22"/>
        </w:rPr>
        <w:t>was</w:t>
      </w:r>
      <w:r w:rsidR="00E005BA" w:rsidRPr="004A143F">
        <w:rPr>
          <w:rFonts w:cs="Times New Roman"/>
          <w:szCs w:val="22"/>
        </w:rPr>
        <w:t xml:space="preserve"> developed working clinically with </w:t>
      </w:r>
      <w:r w:rsidRPr="004A143F">
        <w:rPr>
          <w:rFonts w:cs="Times New Roman"/>
          <w:szCs w:val="22"/>
        </w:rPr>
        <w:t>heavy drinkers but</w:t>
      </w:r>
      <w:r w:rsidR="00E005BA" w:rsidRPr="004A143F">
        <w:rPr>
          <w:rFonts w:cs="Times New Roman"/>
          <w:szCs w:val="22"/>
        </w:rPr>
        <w:t xml:space="preserve"> was</w:t>
      </w:r>
      <w:r w:rsidRPr="004A143F">
        <w:rPr>
          <w:rFonts w:cs="Times New Roman"/>
          <w:szCs w:val="22"/>
        </w:rPr>
        <w:t xml:space="preserve"> soon applied in </w:t>
      </w:r>
      <w:r w:rsidR="00E005BA" w:rsidRPr="004A143F">
        <w:rPr>
          <w:rFonts w:cs="Times New Roman"/>
          <w:szCs w:val="22"/>
        </w:rPr>
        <w:t>a variety of</w:t>
      </w:r>
      <w:r w:rsidRPr="004A143F">
        <w:rPr>
          <w:rFonts w:cs="Times New Roman"/>
          <w:szCs w:val="22"/>
        </w:rPr>
        <w:t xml:space="preserve"> clinical settings</w:t>
      </w:r>
      <w:r w:rsidR="00E005BA" w:rsidRPr="004A143F">
        <w:rPr>
          <w:rFonts w:cs="Times New Roman"/>
          <w:szCs w:val="22"/>
        </w:rPr>
        <w:t xml:space="preserve"> (Miller &amp; Rose, 2009)</w:t>
      </w:r>
      <w:r w:rsidRPr="004A143F">
        <w:rPr>
          <w:rFonts w:cs="Times New Roman"/>
          <w:szCs w:val="22"/>
        </w:rPr>
        <w:t xml:space="preserve">.  </w:t>
      </w:r>
      <w:r w:rsidR="00E005BA" w:rsidRPr="004A143F">
        <w:rPr>
          <w:rFonts w:cs="Times New Roman"/>
          <w:szCs w:val="22"/>
        </w:rPr>
        <w:t xml:space="preserve"> </w:t>
      </w:r>
    </w:p>
    <w:p w:rsidR="00E005BA" w:rsidRPr="004A143F" w:rsidRDefault="00E005BA" w:rsidP="007E59AE">
      <w:pPr>
        <w:widowControl w:val="0"/>
        <w:autoSpaceDE w:val="0"/>
        <w:autoSpaceDN w:val="0"/>
        <w:adjustRightInd w:val="0"/>
        <w:rPr>
          <w:rFonts w:cs="Times New Roman"/>
          <w:szCs w:val="22"/>
        </w:rPr>
      </w:pPr>
    </w:p>
    <w:p w:rsidR="0052789B" w:rsidRPr="004A143F" w:rsidRDefault="007E59AE" w:rsidP="007E59AE">
      <w:pPr>
        <w:widowControl w:val="0"/>
        <w:autoSpaceDE w:val="0"/>
        <w:autoSpaceDN w:val="0"/>
        <w:adjustRightInd w:val="0"/>
        <w:rPr>
          <w:rFonts w:cs="Helvetica"/>
        </w:rPr>
      </w:pPr>
      <w:r w:rsidRPr="004A143F">
        <w:rPr>
          <w:rFonts w:cs="Times New Roman"/>
          <w:szCs w:val="22"/>
        </w:rPr>
        <w:t>More than 200 clinical trials in MI have been published, demonstrating positive effects for a variety of conditions and issues, “</w:t>
      </w:r>
      <w:r w:rsidRPr="004A143F">
        <w:rPr>
          <w:rFonts w:cs="Times New Roman"/>
          <w:color w:val="000000"/>
          <w:szCs w:val="20"/>
        </w:rPr>
        <w:t>including cardiovascular rehabilitation, diabetes management, dietary change, hypertension, illicit drug use, infection risk reduction, management of chronic mental disorders, problem drinking, problem gambling, smoking, and concomitant mental and substance use disorders” (Mil</w:t>
      </w:r>
      <w:r w:rsidR="004F64DE" w:rsidRPr="004A143F">
        <w:rPr>
          <w:rFonts w:cs="Times New Roman"/>
          <w:color w:val="000000"/>
          <w:szCs w:val="20"/>
        </w:rPr>
        <w:t xml:space="preserve">ler and </w:t>
      </w:r>
      <w:proofErr w:type="spellStart"/>
      <w:r w:rsidR="004F64DE" w:rsidRPr="004A143F">
        <w:rPr>
          <w:rFonts w:cs="Times New Roman"/>
          <w:color w:val="000000"/>
          <w:szCs w:val="20"/>
        </w:rPr>
        <w:t>Rollnick</w:t>
      </w:r>
      <w:proofErr w:type="spellEnd"/>
      <w:r w:rsidR="004F64DE" w:rsidRPr="004A143F">
        <w:rPr>
          <w:rFonts w:cs="Times New Roman"/>
          <w:color w:val="000000"/>
          <w:szCs w:val="20"/>
        </w:rPr>
        <w:t>, 2009, pp. 3-4</w:t>
      </w:r>
      <w:r w:rsidRPr="004A143F">
        <w:rPr>
          <w:rFonts w:cs="Times New Roman"/>
          <w:color w:val="000000"/>
          <w:szCs w:val="20"/>
        </w:rPr>
        <w:t>)</w:t>
      </w:r>
      <w:r w:rsidR="004F64DE" w:rsidRPr="004A143F">
        <w:rPr>
          <w:rFonts w:cs="Times New Roman"/>
          <w:color w:val="000000"/>
          <w:szCs w:val="20"/>
        </w:rPr>
        <w:t>.</w:t>
      </w:r>
      <w:r w:rsidRPr="004A143F">
        <w:rPr>
          <w:rFonts w:cs="Times New Roman"/>
          <w:color w:val="000000"/>
          <w:szCs w:val="20"/>
        </w:rPr>
        <w:t xml:space="preserve">  </w:t>
      </w:r>
      <w:r w:rsidR="0052789B" w:rsidRPr="004A143F">
        <w:rPr>
          <w:rFonts w:cs="Times New Roman"/>
          <w:szCs w:val="22"/>
        </w:rPr>
        <w:t xml:space="preserve">In a meta analysis of 72 randomized controlled trials, MI counseling was more effective than traditional </w:t>
      </w:r>
      <w:r w:rsidR="00933DDD" w:rsidRPr="004A143F">
        <w:rPr>
          <w:rFonts w:cs="Times New Roman"/>
          <w:szCs w:val="22"/>
        </w:rPr>
        <w:t>advice giving</w:t>
      </w:r>
      <w:r w:rsidR="0052789B" w:rsidRPr="004A143F">
        <w:rPr>
          <w:rFonts w:cs="Times New Roman"/>
          <w:szCs w:val="22"/>
        </w:rPr>
        <w:t>, improving outcome measures such as BMI, blood alcohol levels, systolic blood pressure and blood cholesterol levels.  The authors noted that longer consults were correlated with better success, 81% of 60-minute encounters studies demonstrated efficacy compared to 64% of 20-minute encounters. (</w:t>
      </w:r>
      <w:proofErr w:type="spellStart"/>
      <w:r w:rsidR="0052789B" w:rsidRPr="004A143F">
        <w:rPr>
          <w:rFonts w:cs="Helvetica"/>
        </w:rPr>
        <w:t>Rubak</w:t>
      </w:r>
      <w:proofErr w:type="spellEnd"/>
      <w:r w:rsidR="0052789B" w:rsidRPr="004A143F">
        <w:rPr>
          <w:rFonts w:cs="Helvetica"/>
        </w:rPr>
        <w:t xml:space="preserve">, </w:t>
      </w:r>
      <w:proofErr w:type="spellStart"/>
      <w:r w:rsidR="0052789B" w:rsidRPr="004A143F">
        <w:rPr>
          <w:rFonts w:cs="Helvetica"/>
        </w:rPr>
        <w:t>Sandbaek</w:t>
      </w:r>
      <w:proofErr w:type="spellEnd"/>
      <w:r w:rsidR="0052789B" w:rsidRPr="004A143F">
        <w:rPr>
          <w:rFonts w:cs="Helvetica"/>
        </w:rPr>
        <w:t xml:space="preserve">, </w:t>
      </w:r>
      <w:proofErr w:type="spellStart"/>
      <w:r w:rsidR="0052789B" w:rsidRPr="004A143F">
        <w:rPr>
          <w:rFonts w:cs="Helvetica"/>
        </w:rPr>
        <w:t>Lauritzen</w:t>
      </w:r>
      <w:proofErr w:type="spellEnd"/>
      <w:r w:rsidR="0052789B" w:rsidRPr="004A143F">
        <w:rPr>
          <w:rFonts w:cs="Helvetica"/>
        </w:rPr>
        <w:t>, &amp; Christensen, 2005)</w:t>
      </w:r>
      <w:r w:rsidR="0052789B" w:rsidRPr="004A143F">
        <w:rPr>
          <w:rFonts w:cs="Times New Roman"/>
          <w:szCs w:val="22"/>
        </w:rPr>
        <w:t xml:space="preserve">. </w:t>
      </w:r>
    </w:p>
    <w:p w:rsidR="00DA2C76" w:rsidRPr="004A143F" w:rsidRDefault="00DA2C76" w:rsidP="00525CF4">
      <w:pPr>
        <w:widowControl w:val="0"/>
        <w:autoSpaceDE w:val="0"/>
        <w:autoSpaceDN w:val="0"/>
        <w:adjustRightInd w:val="0"/>
        <w:rPr>
          <w:rFonts w:cs="Helvetica"/>
        </w:rPr>
      </w:pPr>
    </w:p>
    <w:p w:rsidR="008E28CE" w:rsidRPr="004A143F" w:rsidRDefault="00E005BA" w:rsidP="00525CF4">
      <w:pPr>
        <w:widowControl w:val="0"/>
        <w:autoSpaceDE w:val="0"/>
        <w:autoSpaceDN w:val="0"/>
        <w:adjustRightInd w:val="0"/>
        <w:rPr>
          <w:rFonts w:cs="Times New Roman"/>
          <w:szCs w:val="22"/>
        </w:rPr>
      </w:pPr>
      <w:r w:rsidRPr="004A143F">
        <w:rPr>
          <w:rFonts w:cs="Times New Roman"/>
          <w:szCs w:val="22"/>
        </w:rPr>
        <w:t>The founders of MI frequently note that the “S</w:t>
      </w:r>
      <w:r w:rsidR="004F64DE" w:rsidRPr="004A143F">
        <w:rPr>
          <w:rFonts w:cs="Times New Roman"/>
          <w:szCs w:val="22"/>
        </w:rPr>
        <w:t xml:space="preserve">pirit of MI” </w:t>
      </w:r>
      <w:r w:rsidRPr="004A143F">
        <w:rPr>
          <w:rFonts w:cs="Times New Roman"/>
          <w:szCs w:val="22"/>
        </w:rPr>
        <w:t xml:space="preserve">is the foundation of the method,” </w:t>
      </w:r>
      <w:r w:rsidRPr="004A143F">
        <w:rPr>
          <w:rFonts w:cs="Times New Roman"/>
          <w:szCs w:val="20"/>
        </w:rPr>
        <w:t>The practice of MI without understanding and manifesting this spirit is like the words without the music of a song. It</w:t>
      </w:r>
      <w:r w:rsidR="00EA59FE" w:rsidRPr="004A143F">
        <w:rPr>
          <w:rFonts w:cs="Times New Roman"/>
          <w:szCs w:val="20"/>
        </w:rPr>
        <w:t xml:space="preserve"> is missing something essential” (Miller &amp; </w:t>
      </w:r>
      <w:proofErr w:type="spellStart"/>
      <w:r w:rsidR="00EA59FE" w:rsidRPr="004A143F">
        <w:rPr>
          <w:rFonts w:cs="Times New Roman"/>
          <w:szCs w:val="20"/>
        </w:rPr>
        <w:t>Rollnick</w:t>
      </w:r>
      <w:proofErr w:type="spellEnd"/>
      <w:r w:rsidR="00EA59FE" w:rsidRPr="004A143F">
        <w:rPr>
          <w:rFonts w:cs="Times New Roman"/>
          <w:szCs w:val="20"/>
        </w:rPr>
        <w:t>, 2009, p. 131).  This “Spirit of MI” must include a therapeutic</w:t>
      </w:r>
      <w:r w:rsidR="00EA59FE" w:rsidRPr="004A143F">
        <w:rPr>
          <w:rFonts w:cs="Times New Roman"/>
          <w:szCs w:val="22"/>
        </w:rPr>
        <w:t xml:space="preserve"> </w:t>
      </w:r>
      <w:r w:rsidR="006609C9" w:rsidRPr="004A143F">
        <w:rPr>
          <w:rFonts w:cs="Times New Roman"/>
          <w:szCs w:val="22"/>
        </w:rPr>
        <w:t>par</w:t>
      </w:r>
      <w:r w:rsidR="006342C2" w:rsidRPr="004A143F">
        <w:rPr>
          <w:rFonts w:cs="Times New Roman"/>
          <w:szCs w:val="22"/>
        </w:rPr>
        <w:t>t</w:t>
      </w:r>
      <w:r w:rsidR="006609C9" w:rsidRPr="004A143F">
        <w:rPr>
          <w:rFonts w:cs="Times New Roman"/>
          <w:szCs w:val="22"/>
        </w:rPr>
        <w:t>nership or allia</w:t>
      </w:r>
      <w:r w:rsidR="008E28CE" w:rsidRPr="004A143F">
        <w:rPr>
          <w:rFonts w:cs="Times New Roman"/>
          <w:szCs w:val="22"/>
        </w:rPr>
        <w:t>nce</w:t>
      </w:r>
      <w:r w:rsidR="00904487" w:rsidRPr="004A143F">
        <w:rPr>
          <w:rFonts w:cs="Times New Roman"/>
          <w:szCs w:val="22"/>
        </w:rPr>
        <w:t xml:space="preserve"> </w:t>
      </w:r>
      <w:r w:rsidR="00EA59FE" w:rsidRPr="004A143F">
        <w:rPr>
          <w:rFonts w:cs="Times New Roman"/>
          <w:szCs w:val="22"/>
        </w:rPr>
        <w:t>between patient and practitioner.</w:t>
      </w:r>
      <w:r w:rsidR="004F64DE" w:rsidRPr="004A143F">
        <w:rPr>
          <w:rFonts w:cs="Times New Roman"/>
          <w:szCs w:val="22"/>
        </w:rPr>
        <w:t xml:space="preserve">  </w:t>
      </w:r>
      <w:r w:rsidR="00B845E5" w:rsidRPr="004A143F">
        <w:rPr>
          <w:rFonts w:cs="Times New Roman"/>
          <w:szCs w:val="22"/>
        </w:rPr>
        <w:t>Key featu</w:t>
      </w:r>
      <w:r w:rsidR="007E59AE" w:rsidRPr="004A143F">
        <w:rPr>
          <w:rFonts w:cs="Times New Roman"/>
          <w:szCs w:val="22"/>
        </w:rPr>
        <w:t>res of the therapeutic alliance</w:t>
      </w:r>
      <w:r w:rsidR="00B845E5" w:rsidRPr="004A143F">
        <w:rPr>
          <w:rFonts w:cs="Times New Roman"/>
          <w:szCs w:val="22"/>
        </w:rPr>
        <w:t xml:space="preserve"> include 1) t</w:t>
      </w:r>
      <w:r w:rsidR="008E28CE" w:rsidRPr="004A143F">
        <w:rPr>
          <w:rFonts w:cs="Times New Roman"/>
          <w:szCs w:val="22"/>
        </w:rPr>
        <w:t>he quality of</w:t>
      </w:r>
      <w:r w:rsidR="006609C9" w:rsidRPr="004A143F">
        <w:rPr>
          <w:rFonts w:cs="Times New Roman"/>
          <w:szCs w:val="22"/>
        </w:rPr>
        <w:t xml:space="preserve"> </w:t>
      </w:r>
      <w:r w:rsidR="00B845E5" w:rsidRPr="004A143F">
        <w:rPr>
          <w:rFonts w:cs="Times New Roman"/>
          <w:szCs w:val="22"/>
        </w:rPr>
        <w:t xml:space="preserve">the </w:t>
      </w:r>
      <w:r w:rsidR="006609C9" w:rsidRPr="004A143F">
        <w:rPr>
          <w:rFonts w:cs="Times New Roman"/>
          <w:szCs w:val="22"/>
        </w:rPr>
        <w:t xml:space="preserve">practitioner and patient </w:t>
      </w:r>
      <w:r w:rsidR="006342C2" w:rsidRPr="004A143F">
        <w:rPr>
          <w:rFonts w:cs="Times New Roman"/>
          <w:szCs w:val="22"/>
        </w:rPr>
        <w:t>bond, 2) patient autonom</w:t>
      </w:r>
      <w:r w:rsidR="0037186C" w:rsidRPr="004A143F">
        <w:rPr>
          <w:rFonts w:cs="Times New Roman"/>
          <w:szCs w:val="22"/>
        </w:rPr>
        <w:t xml:space="preserve">y </w:t>
      </w:r>
      <w:r w:rsidR="00B845E5" w:rsidRPr="004A143F">
        <w:rPr>
          <w:rFonts w:cs="Times New Roman"/>
          <w:szCs w:val="22"/>
        </w:rPr>
        <w:t>3) practitioner and patient agree</w:t>
      </w:r>
      <w:r w:rsidR="00451EA9" w:rsidRPr="004A143F">
        <w:rPr>
          <w:rFonts w:cs="Times New Roman"/>
          <w:szCs w:val="22"/>
        </w:rPr>
        <w:t>ment</w:t>
      </w:r>
      <w:r w:rsidR="00B845E5" w:rsidRPr="004A143F">
        <w:rPr>
          <w:rFonts w:cs="Times New Roman"/>
          <w:szCs w:val="22"/>
        </w:rPr>
        <w:t xml:space="preserve"> on goals of the treatment 4) </w:t>
      </w:r>
      <w:r w:rsidR="00451EA9" w:rsidRPr="004A143F">
        <w:rPr>
          <w:rFonts w:cs="Times New Roman"/>
          <w:szCs w:val="22"/>
        </w:rPr>
        <w:t xml:space="preserve">shared </w:t>
      </w:r>
      <w:r w:rsidR="00B845E5" w:rsidRPr="004A143F">
        <w:rPr>
          <w:rFonts w:cs="Times New Roman"/>
          <w:szCs w:val="22"/>
        </w:rPr>
        <w:t xml:space="preserve">belief that the given treatment will address the patient’s concerns </w:t>
      </w:r>
      <w:r w:rsidR="006609C9" w:rsidRPr="004A143F">
        <w:rPr>
          <w:rFonts w:cs="Times New Roman"/>
          <w:szCs w:val="22"/>
        </w:rPr>
        <w:t>(</w:t>
      </w:r>
      <w:proofErr w:type="spellStart"/>
      <w:r w:rsidR="00AE5F2E" w:rsidRPr="004A143F">
        <w:rPr>
          <w:rFonts w:cs="Helvetica"/>
        </w:rPr>
        <w:t>Madson</w:t>
      </w:r>
      <w:proofErr w:type="spellEnd"/>
      <w:r w:rsidR="00AE5F2E" w:rsidRPr="004A143F">
        <w:rPr>
          <w:rFonts w:cs="Helvetica"/>
        </w:rPr>
        <w:t xml:space="preserve">, </w:t>
      </w:r>
      <w:proofErr w:type="spellStart"/>
      <w:r w:rsidR="00AE5F2E" w:rsidRPr="004A143F">
        <w:rPr>
          <w:rFonts w:cs="Helvetica"/>
        </w:rPr>
        <w:t>Loignon</w:t>
      </w:r>
      <w:proofErr w:type="spellEnd"/>
      <w:r w:rsidR="00AE5F2E" w:rsidRPr="004A143F">
        <w:rPr>
          <w:rFonts w:cs="Helvetica"/>
        </w:rPr>
        <w:t xml:space="preserve">, &amp; Lane, 2009; </w:t>
      </w:r>
      <w:proofErr w:type="spellStart"/>
      <w:r w:rsidR="00AE5F2E" w:rsidRPr="004A143F">
        <w:rPr>
          <w:rFonts w:cs="Times New Roman"/>
          <w:color w:val="231F20"/>
          <w:szCs w:val="16"/>
        </w:rPr>
        <w:t>Meissner</w:t>
      </w:r>
      <w:proofErr w:type="spellEnd"/>
      <w:r w:rsidR="00AE5F2E" w:rsidRPr="004A143F">
        <w:rPr>
          <w:rFonts w:cs="Times New Roman"/>
          <w:color w:val="231F20"/>
          <w:szCs w:val="16"/>
        </w:rPr>
        <w:t>, 2006: Bordin, 1994</w:t>
      </w:r>
      <w:r w:rsidR="006609C9" w:rsidRPr="004A143F">
        <w:rPr>
          <w:rFonts w:cs="Times New Roman"/>
          <w:szCs w:val="22"/>
        </w:rPr>
        <w:t xml:space="preserve">). </w:t>
      </w:r>
      <w:r w:rsidR="00B845E5" w:rsidRPr="004A143F">
        <w:rPr>
          <w:rFonts w:cs="Times New Roman"/>
          <w:szCs w:val="22"/>
        </w:rPr>
        <w:t xml:space="preserve"> </w:t>
      </w:r>
      <w:r w:rsidR="00EA59FE" w:rsidRPr="004A143F">
        <w:rPr>
          <w:rFonts w:cs="Times New Roman"/>
          <w:szCs w:val="22"/>
        </w:rPr>
        <w:t>A quality</w:t>
      </w:r>
      <w:r w:rsidR="00F01820" w:rsidRPr="004A143F">
        <w:rPr>
          <w:rFonts w:cs="Times New Roman"/>
          <w:szCs w:val="22"/>
        </w:rPr>
        <w:t xml:space="preserve"> interpersonal relationship b</w:t>
      </w:r>
      <w:r w:rsidR="00EA59FE" w:rsidRPr="004A143F">
        <w:rPr>
          <w:rFonts w:cs="Times New Roman"/>
          <w:szCs w:val="22"/>
        </w:rPr>
        <w:t>etween practitioner and patient</w:t>
      </w:r>
      <w:r w:rsidR="00F01820" w:rsidRPr="004A143F">
        <w:rPr>
          <w:rFonts w:cs="Times New Roman"/>
          <w:szCs w:val="22"/>
        </w:rPr>
        <w:t xml:space="preserve"> a</w:t>
      </w:r>
      <w:r w:rsidR="00AA49A1" w:rsidRPr="004A143F">
        <w:rPr>
          <w:rFonts w:cs="Times New Roman"/>
          <w:szCs w:val="22"/>
        </w:rPr>
        <w:t>s well as</w:t>
      </w:r>
      <w:r w:rsidR="00F01820" w:rsidRPr="004A143F">
        <w:rPr>
          <w:rFonts w:cs="Times New Roman"/>
          <w:szCs w:val="22"/>
        </w:rPr>
        <w:t xml:space="preserve"> patient involvement in decision making are both determinant</w:t>
      </w:r>
      <w:r w:rsidR="0037186C" w:rsidRPr="004A143F">
        <w:rPr>
          <w:rFonts w:cs="Times New Roman"/>
          <w:szCs w:val="22"/>
        </w:rPr>
        <w:t>s</w:t>
      </w:r>
      <w:r w:rsidR="00F01820" w:rsidRPr="004A143F">
        <w:rPr>
          <w:rFonts w:cs="Times New Roman"/>
          <w:szCs w:val="22"/>
        </w:rPr>
        <w:t xml:space="preserve"> of patient adherence</w:t>
      </w:r>
      <w:r w:rsidR="00EA59FE" w:rsidRPr="004A143F">
        <w:rPr>
          <w:rFonts w:cs="Times New Roman"/>
          <w:szCs w:val="22"/>
        </w:rPr>
        <w:t xml:space="preserve"> and key features of MI</w:t>
      </w:r>
      <w:r w:rsidR="00F01820" w:rsidRPr="004A143F">
        <w:rPr>
          <w:rFonts w:cs="Times New Roman"/>
          <w:szCs w:val="22"/>
        </w:rPr>
        <w:t xml:space="preserve"> </w:t>
      </w:r>
      <w:r w:rsidR="00F01820" w:rsidRPr="004A143F">
        <w:rPr>
          <w:rFonts w:cs="Helvetica"/>
        </w:rPr>
        <w:t xml:space="preserve">(Martin, et al., 2005).  </w:t>
      </w:r>
    </w:p>
    <w:p w:rsidR="008E28CE" w:rsidRPr="004A143F" w:rsidRDefault="008E28CE" w:rsidP="00525CF4">
      <w:pPr>
        <w:widowControl w:val="0"/>
        <w:autoSpaceDE w:val="0"/>
        <w:autoSpaceDN w:val="0"/>
        <w:adjustRightInd w:val="0"/>
        <w:rPr>
          <w:rFonts w:cs="Times New Roman"/>
          <w:szCs w:val="22"/>
        </w:rPr>
      </w:pPr>
    </w:p>
    <w:p w:rsidR="00742033" w:rsidRPr="004A143F" w:rsidRDefault="00EA59FE" w:rsidP="00E42824">
      <w:pPr>
        <w:widowControl w:val="0"/>
        <w:autoSpaceDE w:val="0"/>
        <w:autoSpaceDN w:val="0"/>
        <w:adjustRightInd w:val="0"/>
        <w:rPr>
          <w:rFonts w:cs="Times New Roman"/>
          <w:szCs w:val="22"/>
        </w:rPr>
      </w:pPr>
      <w:r w:rsidRPr="004A143F">
        <w:rPr>
          <w:rFonts w:cs="Times New Roman"/>
          <w:szCs w:val="22"/>
        </w:rPr>
        <w:t xml:space="preserve">Motivational Interviewing can be readily incorporated into Western Herbal Medicine (WHM) practice. </w:t>
      </w:r>
      <w:r w:rsidR="00562BED" w:rsidRPr="004A143F">
        <w:rPr>
          <w:rFonts w:cs="Times New Roman"/>
          <w:szCs w:val="22"/>
        </w:rPr>
        <w:t xml:space="preserve">In a review of social science literature, </w:t>
      </w:r>
      <w:proofErr w:type="spellStart"/>
      <w:r w:rsidR="00742033" w:rsidRPr="004A143F">
        <w:rPr>
          <w:rFonts w:cs="Times New Roman"/>
          <w:szCs w:val="22"/>
        </w:rPr>
        <w:t>Nissen</w:t>
      </w:r>
      <w:proofErr w:type="spellEnd"/>
      <w:r w:rsidR="00742033" w:rsidRPr="004A143F">
        <w:rPr>
          <w:rFonts w:cs="Times New Roman"/>
          <w:szCs w:val="22"/>
        </w:rPr>
        <w:t xml:space="preserve"> and Evans</w:t>
      </w:r>
      <w:r w:rsidR="00562BED" w:rsidRPr="004A143F">
        <w:rPr>
          <w:rFonts w:cs="Times New Roman"/>
          <w:szCs w:val="22"/>
        </w:rPr>
        <w:t xml:space="preserve"> </w:t>
      </w:r>
      <w:r w:rsidR="00742033" w:rsidRPr="004A143F">
        <w:rPr>
          <w:rFonts w:cs="Times New Roman"/>
          <w:szCs w:val="22"/>
        </w:rPr>
        <w:t xml:space="preserve">identify the collaborative patient-practitioner relationship as one of the key </w:t>
      </w:r>
      <w:r w:rsidR="008E28CE" w:rsidRPr="004A143F">
        <w:rPr>
          <w:rFonts w:cs="Times New Roman"/>
          <w:szCs w:val="22"/>
        </w:rPr>
        <w:t xml:space="preserve">features of </w:t>
      </w:r>
      <w:r w:rsidR="00562BED" w:rsidRPr="004A143F">
        <w:rPr>
          <w:rFonts w:cs="Times New Roman"/>
          <w:szCs w:val="22"/>
        </w:rPr>
        <w:t>WHM</w:t>
      </w:r>
      <w:r w:rsidR="00742033" w:rsidRPr="004A143F">
        <w:rPr>
          <w:rFonts w:cs="Times New Roman"/>
          <w:szCs w:val="22"/>
        </w:rPr>
        <w:t xml:space="preserve">. </w:t>
      </w:r>
      <w:r w:rsidRPr="004A143F">
        <w:rPr>
          <w:rFonts w:cs="Times New Roman"/>
          <w:szCs w:val="22"/>
        </w:rPr>
        <w:t xml:space="preserve">The WHM practitioner tends to value a collaborative approach to patient care.  </w:t>
      </w:r>
      <w:r w:rsidR="00562BED" w:rsidRPr="004A143F">
        <w:rPr>
          <w:rFonts w:cs="Times New Roman"/>
          <w:szCs w:val="22"/>
        </w:rPr>
        <w:t xml:space="preserve">Other common features include </w:t>
      </w:r>
      <w:r w:rsidR="00742033" w:rsidRPr="004A143F">
        <w:rPr>
          <w:rFonts w:cs="Times New Roman"/>
          <w:szCs w:val="22"/>
        </w:rPr>
        <w:t xml:space="preserve">lengthier consults, </w:t>
      </w:r>
      <w:r w:rsidR="00562BED" w:rsidRPr="004A143F">
        <w:rPr>
          <w:rFonts w:cs="Times New Roman"/>
          <w:szCs w:val="22"/>
        </w:rPr>
        <w:t xml:space="preserve">listening to the patient’s story, </w:t>
      </w:r>
      <w:r w:rsidR="00742033" w:rsidRPr="004A143F">
        <w:rPr>
          <w:rFonts w:cs="Times New Roman"/>
          <w:szCs w:val="22"/>
        </w:rPr>
        <w:t>negotiating shared goals and strategies, and building rapport (</w:t>
      </w:r>
      <w:proofErr w:type="spellStart"/>
      <w:r w:rsidR="00742033" w:rsidRPr="004A143F">
        <w:rPr>
          <w:rFonts w:cs="Times New Roman"/>
          <w:szCs w:val="22"/>
        </w:rPr>
        <w:t>Nissen</w:t>
      </w:r>
      <w:proofErr w:type="spellEnd"/>
      <w:r w:rsidR="00742033" w:rsidRPr="004A143F">
        <w:rPr>
          <w:rFonts w:cs="Times New Roman"/>
          <w:szCs w:val="22"/>
        </w:rPr>
        <w:t xml:space="preserve"> and Evans, 2012)</w:t>
      </w:r>
      <w:r w:rsidR="00562BED" w:rsidRPr="004A143F">
        <w:rPr>
          <w:rFonts w:cs="Times New Roman"/>
          <w:szCs w:val="22"/>
        </w:rPr>
        <w:t>.</w:t>
      </w:r>
      <w:r w:rsidRPr="004A143F">
        <w:rPr>
          <w:rFonts w:cs="Times New Roman"/>
          <w:szCs w:val="22"/>
        </w:rPr>
        <w:t xml:space="preserve">  </w:t>
      </w:r>
    </w:p>
    <w:p w:rsidR="00E42824" w:rsidRPr="004A143F" w:rsidRDefault="00E42824" w:rsidP="00E42824">
      <w:pPr>
        <w:widowControl w:val="0"/>
        <w:autoSpaceDE w:val="0"/>
        <w:autoSpaceDN w:val="0"/>
        <w:adjustRightInd w:val="0"/>
        <w:rPr>
          <w:rFonts w:cs="Times New Roman"/>
          <w:szCs w:val="22"/>
        </w:rPr>
      </w:pPr>
    </w:p>
    <w:p w:rsidR="00143B09" w:rsidRPr="004A143F" w:rsidRDefault="00EA59FE" w:rsidP="00143B09">
      <w:pPr>
        <w:widowControl w:val="0"/>
        <w:autoSpaceDE w:val="0"/>
        <w:autoSpaceDN w:val="0"/>
        <w:adjustRightInd w:val="0"/>
        <w:rPr>
          <w:rFonts w:cs="Times New Roman"/>
          <w:szCs w:val="19"/>
        </w:rPr>
      </w:pPr>
      <w:r w:rsidRPr="004A143F">
        <w:rPr>
          <w:rFonts w:cs="Times New Roman"/>
          <w:szCs w:val="22"/>
        </w:rPr>
        <w:t>It is often necessary for the WHM practitioner to reorient patient expectations in regards to</w:t>
      </w:r>
      <w:r w:rsidR="006342C2" w:rsidRPr="004A143F">
        <w:rPr>
          <w:rFonts w:cs="Times New Roman"/>
          <w:szCs w:val="22"/>
        </w:rPr>
        <w:t xml:space="preserve"> outcomes of herbal treatment and</w:t>
      </w:r>
      <w:r w:rsidRPr="004A143F">
        <w:rPr>
          <w:rFonts w:cs="Times New Roman"/>
          <w:szCs w:val="22"/>
        </w:rPr>
        <w:t xml:space="preserve"> length </w:t>
      </w:r>
      <w:r w:rsidR="006342C2" w:rsidRPr="004A143F">
        <w:rPr>
          <w:rFonts w:cs="Times New Roman"/>
          <w:szCs w:val="22"/>
        </w:rPr>
        <w:t xml:space="preserve">of care.  </w:t>
      </w:r>
      <w:r w:rsidR="000F6821" w:rsidRPr="004A143F">
        <w:rPr>
          <w:rFonts w:cs="Times New Roman"/>
          <w:szCs w:val="22"/>
        </w:rPr>
        <w:t>In his classic 6</w:t>
      </w:r>
      <w:r w:rsidR="000F6821" w:rsidRPr="004A143F">
        <w:rPr>
          <w:rFonts w:cs="Times New Roman"/>
          <w:szCs w:val="22"/>
          <w:vertAlign w:val="superscript"/>
        </w:rPr>
        <w:t>th</w:t>
      </w:r>
      <w:r w:rsidR="000F6821" w:rsidRPr="004A143F">
        <w:rPr>
          <w:rFonts w:cs="Times New Roman"/>
          <w:szCs w:val="22"/>
        </w:rPr>
        <w:t xml:space="preserve"> edition of Herbal Medicine, Rudolf Weiss differentiates the gentle and powerful herbal drugs, placing chamomile on the gentle end of the spectrum and belladonna on the other end.  Today’s herbalist rarely uses potentially toxic herbs such as belladonna and </w:t>
      </w:r>
      <w:r w:rsidRPr="004A143F">
        <w:rPr>
          <w:rFonts w:cs="Times New Roman"/>
          <w:szCs w:val="22"/>
        </w:rPr>
        <w:t>digitalis;</w:t>
      </w:r>
      <w:r w:rsidR="000F6821" w:rsidRPr="004A143F">
        <w:rPr>
          <w:rFonts w:cs="Times New Roman"/>
          <w:szCs w:val="22"/>
        </w:rPr>
        <w:t xml:space="preserve"> instead </w:t>
      </w:r>
      <w:r w:rsidR="00451EA9" w:rsidRPr="004A143F">
        <w:rPr>
          <w:rFonts w:cs="Times New Roman"/>
          <w:szCs w:val="22"/>
        </w:rPr>
        <w:t>the modern herbalist relies</w:t>
      </w:r>
      <w:r w:rsidR="000F6821" w:rsidRPr="004A143F">
        <w:rPr>
          <w:rFonts w:cs="Times New Roman"/>
          <w:szCs w:val="22"/>
        </w:rPr>
        <w:t xml:space="preserve"> on the gentle or midrange herbals such as chamomile and licorice.  Weiss is careful to point out that gentle does not mean ineffective but rather that </w:t>
      </w:r>
      <w:r w:rsidR="00451EA9" w:rsidRPr="004A143F">
        <w:rPr>
          <w:rFonts w:cs="Times New Roman"/>
          <w:szCs w:val="22"/>
        </w:rPr>
        <w:t xml:space="preserve">effects are best achieved over </w:t>
      </w:r>
      <w:r w:rsidR="00BA6752" w:rsidRPr="004A143F">
        <w:rPr>
          <w:rFonts w:cs="Times New Roman"/>
          <w:szCs w:val="22"/>
        </w:rPr>
        <w:t>a longer period of time in the context of a practitioner-patient relationship</w:t>
      </w:r>
      <w:r w:rsidR="00143B09" w:rsidRPr="004A143F">
        <w:rPr>
          <w:rFonts w:cs="Times New Roman"/>
          <w:szCs w:val="22"/>
        </w:rPr>
        <w:t>.  “</w:t>
      </w:r>
      <w:r w:rsidR="00143B09" w:rsidRPr="004A143F">
        <w:rPr>
          <w:rFonts w:cs="Times New Roman"/>
          <w:szCs w:val="19"/>
        </w:rPr>
        <w:t>If there is a dialogue</w:t>
      </w:r>
      <w:r w:rsidR="00143B09" w:rsidRPr="004A143F">
        <w:rPr>
          <w:rFonts w:cs="Times New Roman"/>
          <w:szCs w:val="22"/>
        </w:rPr>
        <w:t xml:space="preserve"> </w:t>
      </w:r>
      <w:r w:rsidR="00143B09" w:rsidRPr="004A143F">
        <w:rPr>
          <w:rFonts w:cs="Times New Roman"/>
          <w:szCs w:val="19"/>
        </w:rPr>
        <w:t>between physician and patient, and at the</w:t>
      </w:r>
      <w:r w:rsidR="00143B09" w:rsidRPr="004A143F">
        <w:rPr>
          <w:rFonts w:cs="Times New Roman"/>
          <w:szCs w:val="22"/>
        </w:rPr>
        <w:t xml:space="preserve"> </w:t>
      </w:r>
      <w:r w:rsidR="00143B09" w:rsidRPr="004A143F">
        <w:rPr>
          <w:rFonts w:cs="Times New Roman"/>
          <w:szCs w:val="19"/>
        </w:rPr>
        <w:t>same time a plant medicament is given, it is</w:t>
      </w:r>
      <w:r w:rsidR="00143B09" w:rsidRPr="004A143F">
        <w:rPr>
          <w:rFonts w:cs="Times New Roman"/>
          <w:szCs w:val="22"/>
        </w:rPr>
        <w:t xml:space="preserve"> </w:t>
      </w:r>
      <w:r w:rsidR="00143B09" w:rsidRPr="004A143F">
        <w:rPr>
          <w:rFonts w:cs="Times New Roman"/>
          <w:szCs w:val="19"/>
        </w:rPr>
        <w:t>the ideal method of healing, and all that is</w:t>
      </w:r>
      <w:r w:rsidR="00143B09" w:rsidRPr="004A143F">
        <w:rPr>
          <w:rFonts w:cs="Times New Roman"/>
          <w:szCs w:val="22"/>
        </w:rPr>
        <w:t xml:space="preserve"> </w:t>
      </w:r>
      <w:r w:rsidR="00143B09" w:rsidRPr="004A143F">
        <w:rPr>
          <w:rFonts w:cs="Times New Roman"/>
          <w:szCs w:val="19"/>
        </w:rPr>
        <w:t>needed in the m</w:t>
      </w:r>
      <w:r w:rsidR="00F72464" w:rsidRPr="004A143F">
        <w:rPr>
          <w:rFonts w:cs="Times New Roman"/>
          <w:szCs w:val="19"/>
        </w:rPr>
        <w:t>ajority of cases.” (Weiss, 1985, p. 11.)</w:t>
      </w:r>
    </w:p>
    <w:p w:rsidR="000F6821" w:rsidRPr="004A143F" w:rsidRDefault="000F6821" w:rsidP="00143B09">
      <w:pPr>
        <w:widowControl w:val="0"/>
        <w:autoSpaceDE w:val="0"/>
        <w:autoSpaceDN w:val="0"/>
        <w:adjustRightInd w:val="0"/>
        <w:rPr>
          <w:rFonts w:cs="Times New Roman"/>
          <w:szCs w:val="22"/>
        </w:rPr>
      </w:pPr>
    </w:p>
    <w:p w:rsidR="00742033" w:rsidRPr="004A143F" w:rsidRDefault="007E59AE" w:rsidP="008E28CE">
      <w:pPr>
        <w:widowControl w:val="0"/>
        <w:autoSpaceDE w:val="0"/>
        <w:autoSpaceDN w:val="0"/>
        <w:adjustRightInd w:val="0"/>
        <w:rPr>
          <w:rFonts w:cs="Times New Roman"/>
          <w:szCs w:val="22"/>
        </w:rPr>
      </w:pPr>
      <w:r w:rsidRPr="004A143F">
        <w:rPr>
          <w:rFonts w:cs="Times New Roman"/>
          <w:szCs w:val="22"/>
        </w:rPr>
        <w:t xml:space="preserve">With a </w:t>
      </w:r>
      <w:proofErr w:type="spellStart"/>
      <w:r w:rsidRPr="004A143F">
        <w:rPr>
          <w:rFonts w:cs="Times New Roman"/>
          <w:szCs w:val="22"/>
        </w:rPr>
        <w:t>materia</w:t>
      </w:r>
      <w:proofErr w:type="spellEnd"/>
      <w:r w:rsidRPr="004A143F">
        <w:rPr>
          <w:rFonts w:cs="Times New Roman"/>
          <w:szCs w:val="22"/>
        </w:rPr>
        <w:t xml:space="preserve"> </w:t>
      </w:r>
      <w:proofErr w:type="spellStart"/>
      <w:r w:rsidRPr="004A143F">
        <w:rPr>
          <w:rFonts w:cs="Times New Roman"/>
          <w:szCs w:val="22"/>
        </w:rPr>
        <w:t>m</w:t>
      </w:r>
      <w:r w:rsidR="00143B09" w:rsidRPr="004A143F">
        <w:rPr>
          <w:rFonts w:cs="Times New Roman"/>
          <w:szCs w:val="22"/>
        </w:rPr>
        <w:t>edica</w:t>
      </w:r>
      <w:proofErr w:type="spellEnd"/>
      <w:r w:rsidR="00143B09" w:rsidRPr="004A143F">
        <w:rPr>
          <w:rFonts w:cs="Times New Roman"/>
          <w:szCs w:val="22"/>
        </w:rPr>
        <w:t xml:space="preserve"> of gent</w:t>
      </w:r>
      <w:r w:rsidR="00742033" w:rsidRPr="004A143F">
        <w:rPr>
          <w:rFonts w:cs="Times New Roman"/>
          <w:szCs w:val="22"/>
        </w:rPr>
        <w:t>le and midrange herbals</w:t>
      </w:r>
      <w:r w:rsidR="00143B09" w:rsidRPr="004A143F">
        <w:rPr>
          <w:rFonts w:cs="Times New Roman"/>
          <w:szCs w:val="22"/>
        </w:rPr>
        <w:t xml:space="preserve">, today’s herbalist </w:t>
      </w:r>
      <w:r w:rsidR="00742033" w:rsidRPr="004A143F">
        <w:rPr>
          <w:rFonts w:cs="Times New Roman"/>
          <w:szCs w:val="22"/>
        </w:rPr>
        <w:t xml:space="preserve">will be most successful when herbs are given in the context of exploring </w:t>
      </w:r>
      <w:r w:rsidR="00143B09" w:rsidRPr="004A143F">
        <w:rPr>
          <w:rFonts w:cs="Times New Roman"/>
          <w:szCs w:val="22"/>
        </w:rPr>
        <w:t xml:space="preserve">behavior and lifestyle choices of the client.  For instance, when prescribing a sedative to a client with insomnia, it is essential to </w:t>
      </w:r>
      <w:r w:rsidR="00742033" w:rsidRPr="004A143F">
        <w:rPr>
          <w:rFonts w:cs="Times New Roman"/>
          <w:szCs w:val="22"/>
        </w:rPr>
        <w:t xml:space="preserve">explore behaviors such as </w:t>
      </w:r>
      <w:r w:rsidR="00143B09" w:rsidRPr="004A143F">
        <w:rPr>
          <w:rFonts w:cs="Times New Roman"/>
          <w:szCs w:val="22"/>
        </w:rPr>
        <w:t xml:space="preserve">caffeine and alcohol use, blue light exposure, and stress management.  </w:t>
      </w:r>
      <w:r w:rsidR="00E42824" w:rsidRPr="004A143F">
        <w:rPr>
          <w:rFonts w:cs="Times New Roman"/>
          <w:szCs w:val="22"/>
        </w:rPr>
        <w:t>Just as the herbalist uses herbs to nudge the innate healing ability of the human body, the herbalist can use MI skills to nudge the ‘intrinsic motivation’ in their patient so that behavior change is not co</w:t>
      </w:r>
      <w:r w:rsidR="00742033" w:rsidRPr="004A143F">
        <w:rPr>
          <w:rFonts w:cs="Times New Roman"/>
          <w:szCs w:val="22"/>
        </w:rPr>
        <w:t xml:space="preserve">erced but rather is evoked </w:t>
      </w:r>
      <w:r w:rsidRPr="004A143F">
        <w:rPr>
          <w:rFonts w:cs="Times New Roman"/>
          <w:szCs w:val="22"/>
        </w:rPr>
        <w:t>with</w:t>
      </w:r>
      <w:r w:rsidR="00742033" w:rsidRPr="004A143F">
        <w:rPr>
          <w:rFonts w:cs="Times New Roman"/>
          <w:szCs w:val="22"/>
        </w:rPr>
        <w:t xml:space="preserve"> dialogue and </w:t>
      </w:r>
      <w:r w:rsidR="00451EA9" w:rsidRPr="004A143F">
        <w:rPr>
          <w:rFonts w:cs="Times New Roman"/>
          <w:szCs w:val="22"/>
        </w:rPr>
        <w:t>an exploration of</w:t>
      </w:r>
      <w:r w:rsidR="00742033" w:rsidRPr="004A143F">
        <w:rPr>
          <w:rFonts w:cs="Times New Roman"/>
          <w:szCs w:val="22"/>
        </w:rPr>
        <w:t xml:space="preserve"> client ambivalence.</w:t>
      </w:r>
    </w:p>
    <w:p w:rsidR="006609C9" w:rsidRPr="004A143F" w:rsidRDefault="006609C9" w:rsidP="00525CF4">
      <w:pPr>
        <w:widowControl w:val="0"/>
        <w:autoSpaceDE w:val="0"/>
        <w:autoSpaceDN w:val="0"/>
        <w:adjustRightInd w:val="0"/>
        <w:rPr>
          <w:rFonts w:cs="Times New Roman"/>
          <w:szCs w:val="22"/>
        </w:rPr>
      </w:pPr>
    </w:p>
    <w:p w:rsidR="006609C9" w:rsidRPr="004A143F" w:rsidRDefault="006342C2" w:rsidP="00525CF4">
      <w:pPr>
        <w:widowControl w:val="0"/>
        <w:autoSpaceDE w:val="0"/>
        <w:autoSpaceDN w:val="0"/>
        <w:adjustRightInd w:val="0"/>
        <w:rPr>
          <w:rFonts w:cs="Times New Roman"/>
          <w:szCs w:val="22"/>
        </w:rPr>
      </w:pPr>
      <w:r w:rsidRPr="004A143F">
        <w:rPr>
          <w:rFonts w:cs="Times New Roman"/>
          <w:szCs w:val="22"/>
        </w:rPr>
        <w:t>This lecture and</w:t>
      </w:r>
      <w:r w:rsidR="006609C9" w:rsidRPr="004A143F">
        <w:rPr>
          <w:rFonts w:cs="Times New Roman"/>
          <w:szCs w:val="22"/>
        </w:rPr>
        <w:t xml:space="preserve"> workshop will delve </w:t>
      </w:r>
      <w:r w:rsidRPr="004A143F">
        <w:rPr>
          <w:rFonts w:cs="Times New Roman"/>
          <w:szCs w:val="22"/>
        </w:rPr>
        <w:t xml:space="preserve">into MI tools that build on a collaborative approach to patient care. Tools </w:t>
      </w:r>
      <w:r w:rsidR="006609C9" w:rsidRPr="004A143F">
        <w:rPr>
          <w:rFonts w:cs="Times New Roman"/>
          <w:szCs w:val="22"/>
        </w:rPr>
        <w:t>explored in the workshop include:</w:t>
      </w:r>
    </w:p>
    <w:p w:rsidR="006609C9" w:rsidRPr="004A143F" w:rsidRDefault="006609C9" w:rsidP="006609C9">
      <w:pPr>
        <w:pStyle w:val="ListParagraph"/>
        <w:widowControl w:val="0"/>
        <w:numPr>
          <w:ilvl w:val="0"/>
          <w:numId w:val="7"/>
        </w:numPr>
        <w:autoSpaceDE w:val="0"/>
        <w:autoSpaceDN w:val="0"/>
        <w:adjustRightInd w:val="0"/>
        <w:rPr>
          <w:rFonts w:cs="Times New Roman"/>
          <w:szCs w:val="22"/>
        </w:rPr>
      </w:pPr>
      <w:r w:rsidRPr="004A143F">
        <w:rPr>
          <w:rFonts w:cs="Times New Roman"/>
          <w:szCs w:val="22"/>
        </w:rPr>
        <w:t>OARS interview style</w:t>
      </w:r>
    </w:p>
    <w:p w:rsidR="006609C9" w:rsidRPr="004A143F" w:rsidRDefault="006609C9" w:rsidP="006609C9">
      <w:pPr>
        <w:pStyle w:val="ListParagraph"/>
        <w:widowControl w:val="0"/>
        <w:numPr>
          <w:ilvl w:val="0"/>
          <w:numId w:val="7"/>
        </w:numPr>
        <w:autoSpaceDE w:val="0"/>
        <w:autoSpaceDN w:val="0"/>
        <w:adjustRightInd w:val="0"/>
        <w:rPr>
          <w:rFonts w:cs="Times New Roman"/>
          <w:szCs w:val="22"/>
        </w:rPr>
      </w:pPr>
      <w:r w:rsidRPr="004A143F">
        <w:rPr>
          <w:rFonts w:cs="Times New Roman"/>
          <w:szCs w:val="22"/>
        </w:rPr>
        <w:t>Agenda Setting</w:t>
      </w:r>
    </w:p>
    <w:p w:rsidR="006609C9" w:rsidRPr="004A143F" w:rsidRDefault="006609C9" w:rsidP="006609C9">
      <w:pPr>
        <w:pStyle w:val="ListParagraph"/>
        <w:widowControl w:val="0"/>
        <w:numPr>
          <w:ilvl w:val="0"/>
          <w:numId w:val="7"/>
        </w:numPr>
        <w:autoSpaceDE w:val="0"/>
        <w:autoSpaceDN w:val="0"/>
        <w:adjustRightInd w:val="0"/>
        <w:rPr>
          <w:rFonts w:cs="Times New Roman"/>
          <w:szCs w:val="22"/>
        </w:rPr>
      </w:pPr>
      <w:r w:rsidRPr="004A143F">
        <w:rPr>
          <w:rFonts w:cs="Times New Roman"/>
          <w:szCs w:val="22"/>
        </w:rPr>
        <w:t>Elicit-Provide-Elicit</w:t>
      </w:r>
    </w:p>
    <w:p w:rsidR="006609C9" w:rsidRPr="004A143F" w:rsidRDefault="006609C9" w:rsidP="006609C9">
      <w:pPr>
        <w:pStyle w:val="ListParagraph"/>
        <w:widowControl w:val="0"/>
        <w:numPr>
          <w:ilvl w:val="0"/>
          <w:numId w:val="7"/>
        </w:numPr>
        <w:autoSpaceDE w:val="0"/>
        <w:autoSpaceDN w:val="0"/>
        <w:adjustRightInd w:val="0"/>
        <w:rPr>
          <w:rFonts w:cs="Times New Roman"/>
          <w:szCs w:val="22"/>
        </w:rPr>
      </w:pPr>
      <w:r w:rsidRPr="004A143F">
        <w:rPr>
          <w:rFonts w:cs="Times New Roman"/>
          <w:szCs w:val="22"/>
        </w:rPr>
        <w:t>Building Self-efficacy</w:t>
      </w:r>
    </w:p>
    <w:p w:rsidR="006609C9" w:rsidRPr="004A143F" w:rsidRDefault="006609C9" w:rsidP="006609C9">
      <w:pPr>
        <w:pStyle w:val="ListParagraph"/>
        <w:widowControl w:val="0"/>
        <w:numPr>
          <w:ilvl w:val="0"/>
          <w:numId w:val="7"/>
        </w:numPr>
        <w:autoSpaceDE w:val="0"/>
        <w:autoSpaceDN w:val="0"/>
        <w:adjustRightInd w:val="0"/>
        <w:rPr>
          <w:rFonts w:cs="Times New Roman"/>
          <w:szCs w:val="22"/>
        </w:rPr>
      </w:pPr>
      <w:r w:rsidRPr="004A143F">
        <w:rPr>
          <w:rFonts w:cs="Times New Roman"/>
          <w:szCs w:val="22"/>
        </w:rPr>
        <w:t>Recognizing Change Tal</w:t>
      </w:r>
      <w:r w:rsidR="006342C2" w:rsidRPr="004A143F">
        <w:rPr>
          <w:rFonts w:cs="Times New Roman"/>
          <w:szCs w:val="22"/>
        </w:rPr>
        <w:t>k</w:t>
      </w:r>
    </w:p>
    <w:p w:rsidR="006609C9" w:rsidRPr="004A143F" w:rsidRDefault="006609C9" w:rsidP="006609C9">
      <w:pPr>
        <w:pStyle w:val="ListParagraph"/>
        <w:widowControl w:val="0"/>
        <w:numPr>
          <w:ilvl w:val="0"/>
          <w:numId w:val="7"/>
        </w:numPr>
        <w:autoSpaceDE w:val="0"/>
        <w:autoSpaceDN w:val="0"/>
        <w:adjustRightInd w:val="0"/>
        <w:rPr>
          <w:rFonts w:cs="Times New Roman"/>
          <w:szCs w:val="22"/>
        </w:rPr>
      </w:pPr>
      <w:r w:rsidRPr="004A143F">
        <w:rPr>
          <w:rFonts w:cs="Times New Roman"/>
          <w:szCs w:val="22"/>
        </w:rPr>
        <w:t>Recognizing and Reducing Resistance</w:t>
      </w:r>
    </w:p>
    <w:p w:rsidR="006342C2" w:rsidRPr="004A143F" w:rsidRDefault="006342C2" w:rsidP="006342C2">
      <w:pPr>
        <w:pStyle w:val="ListParagraph"/>
        <w:widowControl w:val="0"/>
        <w:numPr>
          <w:ilvl w:val="0"/>
          <w:numId w:val="7"/>
        </w:numPr>
        <w:autoSpaceDE w:val="0"/>
        <w:autoSpaceDN w:val="0"/>
        <w:adjustRightInd w:val="0"/>
        <w:rPr>
          <w:rFonts w:cs="Times New Roman"/>
          <w:b/>
          <w:szCs w:val="22"/>
        </w:rPr>
      </w:pPr>
      <w:r w:rsidRPr="004A143F">
        <w:rPr>
          <w:rFonts w:cs="Times New Roman"/>
          <w:szCs w:val="22"/>
        </w:rPr>
        <w:t xml:space="preserve">Exploring ambivalence </w:t>
      </w:r>
    </w:p>
    <w:p w:rsidR="00F50523" w:rsidRPr="004A143F" w:rsidRDefault="00F50523" w:rsidP="006342C2">
      <w:pPr>
        <w:pStyle w:val="ListParagraph"/>
        <w:widowControl w:val="0"/>
        <w:autoSpaceDE w:val="0"/>
        <w:autoSpaceDN w:val="0"/>
        <w:adjustRightInd w:val="0"/>
        <w:rPr>
          <w:rFonts w:cs="Times New Roman"/>
          <w:b/>
          <w:szCs w:val="22"/>
        </w:rPr>
      </w:pPr>
    </w:p>
    <w:p w:rsidR="00F50523" w:rsidRPr="004A143F" w:rsidRDefault="00F50523" w:rsidP="00F50523">
      <w:pPr>
        <w:widowControl w:val="0"/>
        <w:autoSpaceDE w:val="0"/>
        <w:autoSpaceDN w:val="0"/>
        <w:adjustRightInd w:val="0"/>
        <w:ind w:left="720" w:hanging="720"/>
        <w:rPr>
          <w:rFonts w:cs="Helvetica"/>
          <w:b/>
          <w:u w:val="single"/>
        </w:rPr>
      </w:pPr>
      <w:r w:rsidRPr="004A143F">
        <w:rPr>
          <w:rFonts w:cs="Helvetica"/>
          <w:b/>
          <w:u w:val="single"/>
        </w:rPr>
        <w:t>Bibliography</w:t>
      </w:r>
    </w:p>
    <w:p w:rsidR="00F50523" w:rsidRPr="004A143F" w:rsidRDefault="00F50523" w:rsidP="00F50523">
      <w:pPr>
        <w:widowControl w:val="0"/>
        <w:autoSpaceDE w:val="0"/>
        <w:autoSpaceDN w:val="0"/>
        <w:adjustRightInd w:val="0"/>
        <w:ind w:left="720" w:hanging="720"/>
        <w:rPr>
          <w:rFonts w:cs="Helvetica"/>
        </w:rPr>
      </w:pPr>
      <w:r w:rsidRPr="004A143F">
        <w:rPr>
          <w:rFonts w:cs="Helvetica"/>
        </w:rPr>
        <w:t xml:space="preserve">Bordin, E. (1994). Theory and research on the therapeutic working alliance: New directions. In A. Horvath &amp; L. Greenberg (Eds.), </w:t>
      </w:r>
      <w:r w:rsidRPr="004A143F">
        <w:rPr>
          <w:rFonts w:cs="Helvetica"/>
          <w:i/>
          <w:iCs/>
        </w:rPr>
        <w:t>The working alliance: Theory, research and practice</w:t>
      </w:r>
      <w:r w:rsidRPr="004A143F">
        <w:rPr>
          <w:rFonts w:cs="Helvetica"/>
        </w:rPr>
        <w:t>. New York: Wiley.</w:t>
      </w:r>
    </w:p>
    <w:p w:rsidR="001C56C7" w:rsidRPr="004A143F" w:rsidRDefault="001C56C7" w:rsidP="001C56C7">
      <w:pPr>
        <w:widowControl w:val="0"/>
        <w:autoSpaceDE w:val="0"/>
        <w:autoSpaceDN w:val="0"/>
        <w:adjustRightInd w:val="0"/>
        <w:ind w:left="720" w:hanging="720"/>
        <w:rPr>
          <w:rFonts w:cs="Helvetica"/>
        </w:rPr>
      </w:pPr>
      <w:r w:rsidRPr="004A143F">
        <w:rPr>
          <w:rFonts w:cs="Helvetica"/>
        </w:rPr>
        <w:t xml:space="preserve">DiMatteo, M. R. (2004). Variations in patients' adherence to medical recommendations: a quantitative review of 50 years of research. </w:t>
      </w:r>
      <w:r w:rsidRPr="004A143F">
        <w:rPr>
          <w:rFonts w:cs="Helvetica"/>
          <w:i/>
          <w:iCs/>
        </w:rPr>
        <w:t>Med Care, 42</w:t>
      </w:r>
      <w:r w:rsidRPr="004A143F">
        <w:rPr>
          <w:rFonts w:cs="Helvetica"/>
        </w:rPr>
        <w:t xml:space="preserve">(3), 200-209. </w:t>
      </w:r>
    </w:p>
    <w:p w:rsidR="00026401" w:rsidRPr="004A143F" w:rsidRDefault="00026401" w:rsidP="00026401">
      <w:pPr>
        <w:widowControl w:val="0"/>
        <w:autoSpaceDE w:val="0"/>
        <w:autoSpaceDN w:val="0"/>
        <w:adjustRightInd w:val="0"/>
        <w:ind w:left="720" w:hanging="720"/>
        <w:rPr>
          <w:rFonts w:cs="Helvetica"/>
        </w:rPr>
      </w:pPr>
      <w:r w:rsidRPr="004A143F">
        <w:rPr>
          <w:rFonts w:cs="Helvetica"/>
        </w:rPr>
        <w:t xml:space="preserve">Ford, E. S., Croft, J. B., Posner, S. F., Goodman, R. A., &amp; Giles, W. H. (2013). Co-occurrence of leading lifestyle-related chronic conditions among adults in the United States, 2002-2009. </w:t>
      </w:r>
      <w:r w:rsidRPr="004A143F">
        <w:rPr>
          <w:rFonts w:cs="Helvetica"/>
          <w:i/>
          <w:iCs/>
        </w:rPr>
        <w:t>Prev Chronic Dis, 10</w:t>
      </w:r>
      <w:r w:rsidRPr="004A143F">
        <w:rPr>
          <w:rFonts w:cs="Helvetica"/>
        </w:rPr>
        <w:t xml:space="preserve">, E60. </w:t>
      </w:r>
      <w:proofErr w:type="spellStart"/>
      <w:r w:rsidRPr="004A143F">
        <w:rPr>
          <w:rFonts w:cs="Helvetica"/>
        </w:rPr>
        <w:t>doi</w:t>
      </w:r>
      <w:proofErr w:type="spellEnd"/>
      <w:r w:rsidRPr="004A143F">
        <w:rPr>
          <w:rFonts w:cs="Helvetica"/>
        </w:rPr>
        <w:t>: 10.5888/pcd10.120316</w:t>
      </w:r>
    </w:p>
    <w:p w:rsidR="00DA2C76" w:rsidRPr="004A143F" w:rsidRDefault="00DA2C76" w:rsidP="00DA2C76">
      <w:pPr>
        <w:widowControl w:val="0"/>
        <w:autoSpaceDE w:val="0"/>
        <w:autoSpaceDN w:val="0"/>
        <w:adjustRightInd w:val="0"/>
        <w:ind w:left="720" w:hanging="720"/>
        <w:rPr>
          <w:rFonts w:cs="Helvetica"/>
        </w:rPr>
      </w:pPr>
      <w:proofErr w:type="spellStart"/>
      <w:r w:rsidRPr="004A143F">
        <w:rPr>
          <w:rFonts w:cs="Helvetica"/>
        </w:rPr>
        <w:t>Glanz</w:t>
      </w:r>
      <w:proofErr w:type="spellEnd"/>
      <w:r w:rsidRPr="004A143F">
        <w:rPr>
          <w:rFonts w:cs="Helvetica"/>
        </w:rPr>
        <w:t xml:space="preserve">, K., Basil, M., </w:t>
      </w:r>
      <w:proofErr w:type="spellStart"/>
      <w:r w:rsidRPr="004A143F">
        <w:rPr>
          <w:rFonts w:cs="Helvetica"/>
        </w:rPr>
        <w:t>Maibach</w:t>
      </w:r>
      <w:proofErr w:type="spellEnd"/>
      <w:r w:rsidRPr="004A143F">
        <w:rPr>
          <w:rFonts w:cs="Helvetica"/>
        </w:rPr>
        <w:t xml:space="preserve">, E., Goldberg, J., &amp; Snyder, D. (1998). Why Americans eat what they do: taste, nutrition, cost, convenience, and weight control concerns as influences on food consumption. </w:t>
      </w:r>
      <w:r w:rsidRPr="004A143F">
        <w:rPr>
          <w:rFonts w:cs="Helvetica"/>
          <w:i/>
          <w:iCs/>
        </w:rPr>
        <w:t>J Am Diet Assoc, 98</w:t>
      </w:r>
      <w:r w:rsidRPr="004A143F">
        <w:rPr>
          <w:rFonts w:cs="Helvetica"/>
        </w:rPr>
        <w:t xml:space="preserve">(10), 1118-1126. </w:t>
      </w:r>
      <w:proofErr w:type="spellStart"/>
      <w:r w:rsidRPr="004A143F">
        <w:rPr>
          <w:rFonts w:cs="Helvetica"/>
        </w:rPr>
        <w:t>doi</w:t>
      </w:r>
      <w:proofErr w:type="spellEnd"/>
      <w:r w:rsidRPr="004A143F">
        <w:rPr>
          <w:rFonts w:cs="Helvetica"/>
        </w:rPr>
        <w:t>: 10.1016/S0002-8223(98)00260-0</w:t>
      </w:r>
    </w:p>
    <w:p w:rsidR="0065187F" w:rsidRPr="004A143F" w:rsidRDefault="0065187F" w:rsidP="0065187F">
      <w:pPr>
        <w:widowControl w:val="0"/>
        <w:autoSpaceDE w:val="0"/>
        <w:autoSpaceDN w:val="0"/>
        <w:adjustRightInd w:val="0"/>
        <w:ind w:left="720" w:hanging="720"/>
        <w:rPr>
          <w:rFonts w:cs="Helvetica"/>
        </w:rPr>
      </w:pPr>
      <w:proofErr w:type="spellStart"/>
      <w:r w:rsidRPr="004A143F">
        <w:rPr>
          <w:rFonts w:cs="Helvetica"/>
        </w:rPr>
        <w:t>Kravitz</w:t>
      </w:r>
      <w:proofErr w:type="spellEnd"/>
      <w:r w:rsidRPr="004A143F">
        <w:rPr>
          <w:rFonts w:cs="Helvetica"/>
        </w:rPr>
        <w:t xml:space="preserve">, R. L., Hays, R. D., </w:t>
      </w:r>
      <w:proofErr w:type="spellStart"/>
      <w:r w:rsidRPr="004A143F">
        <w:rPr>
          <w:rFonts w:cs="Helvetica"/>
        </w:rPr>
        <w:t>Sherbourne</w:t>
      </w:r>
      <w:proofErr w:type="spellEnd"/>
      <w:r w:rsidRPr="004A143F">
        <w:rPr>
          <w:rFonts w:cs="Helvetica"/>
        </w:rPr>
        <w:t xml:space="preserve">, C. D., DiMatteo, M. R., Rogers, W. H., Ordway, L., &amp; Greenfield, S. (1993). Recall of recommendations and adherence to advice among patients with chronic medical conditions. </w:t>
      </w:r>
      <w:r w:rsidRPr="004A143F">
        <w:rPr>
          <w:rFonts w:cs="Helvetica"/>
          <w:i/>
          <w:iCs/>
        </w:rPr>
        <w:t>Arch Intern Med, 153</w:t>
      </w:r>
      <w:r w:rsidRPr="004A143F">
        <w:rPr>
          <w:rFonts w:cs="Helvetica"/>
        </w:rPr>
        <w:t xml:space="preserve">(16), 1869-1878. </w:t>
      </w:r>
    </w:p>
    <w:p w:rsidR="00AE5F2E" w:rsidRPr="004A143F" w:rsidRDefault="00AE5F2E" w:rsidP="0065187F">
      <w:pPr>
        <w:widowControl w:val="0"/>
        <w:autoSpaceDE w:val="0"/>
        <w:autoSpaceDN w:val="0"/>
        <w:adjustRightInd w:val="0"/>
        <w:ind w:left="720" w:hanging="720"/>
        <w:rPr>
          <w:rFonts w:cs="Helvetica"/>
        </w:rPr>
      </w:pPr>
      <w:proofErr w:type="spellStart"/>
      <w:r w:rsidRPr="004A143F">
        <w:rPr>
          <w:rFonts w:cs="Helvetica"/>
        </w:rPr>
        <w:t>Madson</w:t>
      </w:r>
      <w:proofErr w:type="spellEnd"/>
      <w:r w:rsidRPr="004A143F">
        <w:rPr>
          <w:rFonts w:cs="Helvetica"/>
        </w:rPr>
        <w:t xml:space="preserve">, M. B., </w:t>
      </w:r>
      <w:proofErr w:type="spellStart"/>
      <w:r w:rsidRPr="004A143F">
        <w:rPr>
          <w:rFonts w:cs="Helvetica"/>
        </w:rPr>
        <w:t>Loignon</w:t>
      </w:r>
      <w:proofErr w:type="spellEnd"/>
      <w:r w:rsidRPr="004A143F">
        <w:rPr>
          <w:rFonts w:cs="Helvetica"/>
        </w:rPr>
        <w:t xml:space="preserve">, A. C., &amp; Lane, C. (2009). Training in motivational interviewing: a systematic review. </w:t>
      </w:r>
      <w:r w:rsidRPr="004A143F">
        <w:rPr>
          <w:rFonts w:cs="Helvetica"/>
          <w:i/>
          <w:iCs/>
        </w:rPr>
        <w:t xml:space="preserve">J </w:t>
      </w:r>
      <w:proofErr w:type="spellStart"/>
      <w:r w:rsidRPr="004A143F">
        <w:rPr>
          <w:rFonts w:cs="Helvetica"/>
          <w:i/>
          <w:iCs/>
        </w:rPr>
        <w:t>Subst</w:t>
      </w:r>
      <w:proofErr w:type="spellEnd"/>
      <w:r w:rsidRPr="004A143F">
        <w:rPr>
          <w:rFonts w:cs="Helvetica"/>
          <w:i/>
          <w:iCs/>
        </w:rPr>
        <w:t xml:space="preserve"> Abuse Treat, 36</w:t>
      </w:r>
      <w:r w:rsidRPr="004A143F">
        <w:rPr>
          <w:rFonts w:cs="Helvetica"/>
        </w:rPr>
        <w:t xml:space="preserve">(1), 101-109. </w:t>
      </w:r>
      <w:proofErr w:type="spellStart"/>
      <w:r w:rsidRPr="004A143F">
        <w:rPr>
          <w:rFonts w:cs="Helvetica"/>
        </w:rPr>
        <w:t>doi</w:t>
      </w:r>
      <w:proofErr w:type="spellEnd"/>
      <w:r w:rsidRPr="004A143F">
        <w:rPr>
          <w:rFonts w:cs="Helvetica"/>
        </w:rPr>
        <w:t>: 10.1016/j.jsat.2008.05.005</w:t>
      </w:r>
    </w:p>
    <w:p w:rsidR="00F01820" w:rsidRPr="004A143F" w:rsidRDefault="00F01820" w:rsidP="00F01820">
      <w:pPr>
        <w:widowControl w:val="0"/>
        <w:autoSpaceDE w:val="0"/>
        <w:autoSpaceDN w:val="0"/>
        <w:adjustRightInd w:val="0"/>
        <w:ind w:left="720" w:hanging="720"/>
        <w:rPr>
          <w:rFonts w:cs="Helvetica"/>
        </w:rPr>
      </w:pPr>
      <w:r w:rsidRPr="004A143F">
        <w:rPr>
          <w:rFonts w:cs="Helvetica"/>
        </w:rPr>
        <w:t xml:space="preserve">Martin, L. R., Williams, S. L., </w:t>
      </w:r>
      <w:proofErr w:type="spellStart"/>
      <w:r w:rsidRPr="004A143F">
        <w:rPr>
          <w:rFonts w:cs="Helvetica"/>
        </w:rPr>
        <w:t>Haskard</w:t>
      </w:r>
      <w:proofErr w:type="spellEnd"/>
      <w:r w:rsidRPr="004A143F">
        <w:rPr>
          <w:rFonts w:cs="Helvetica"/>
        </w:rPr>
        <w:t xml:space="preserve">, K. B., &amp; </w:t>
      </w:r>
      <w:proofErr w:type="spellStart"/>
      <w:r w:rsidRPr="004A143F">
        <w:rPr>
          <w:rFonts w:cs="Helvetica"/>
        </w:rPr>
        <w:t>Dimatteo</w:t>
      </w:r>
      <w:proofErr w:type="spellEnd"/>
      <w:r w:rsidRPr="004A143F">
        <w:rPr>
          <w:rFonts w:cs="Helvetica"/>
        </w:rPr>
        <w:t xml:space="preserve">, M. R. (2005). The challenge of patient adherence. </w:t>
      </w:r>
      <w:proofErr w:type="spellStart"/>
      <w:r w:rsidRPr="004A143F">
        <w:rPr>
          <w:rFonts w:cs="Helvetica"/>
          <w:i/>
          <w:iCs/>
        </w:rPr>
        <w:t>Ther</w:t>
      </w:r>
      <w:proofErr w:type="spellEnd"/>
      <w:r w:rsidRPr="004A143F">
        <w:rPr>
          <w:rFonts w:cs="Helvetica"/>
          <w:i/>
          <w:iCs/>
        </w:rPr>
        <w:t xml:space="preserve"> </w:t>
      </w:r>
      <w:proofErr w:type="spellStart"/>
      <w:r w:rsidRPr="004A143F">
        <w:rPr>
          <w:rFonts w:cs="Helvetica"/>
          <w:i/>
          <w:iCs/>
        </w:rPr>
        <w:t>Clin</w:t>
      </w:r>
      <w:proofErr w:type="spellEnd"/>
      <w:r w:rsidRPr="004A143F">
        <w:rPr>
          <w:rFonts w:cs="Helvetica"/>
          <w:i/>
          <w:iCs/>
        </w:rPr>
        <w:t xml:space="preserve"> Risk </w:t>
      </w:r>
      <w:proofErr w:type="spellStart"/>
      <w:r w:rsidRPr="004A143F">
        <w:rPr>
          <w:rFonts w:cs="Helvetica"/>
          <w:i/>
          <w:iCs/>
        </w:rPr>
        <w:t>Manag</w:t>
      </w:r>
      <w:proofErr w:type="spellEnd"/>
      <w:r w:rsidRPr="004A143F">
        <w:rPr>
          <w:rFonts w:cs="Helvetica"/>
          <w:i/>
          <w:iCs/>
        </w:rPr>
        <w:t>, 1</w:t>
      </w:r>
      <w:r w:rsidRPr="004A143F">
        <w:rPr>
          <w:rFonts w:cs="Helvetica"/>
        </w:rPr>
        <w:t xml:space="preserve">(3), 189-199. </w:t>
      </w:r>
    </w:p>
    <w:p w:rsidR="00143B09" w:rsidRPr="004A143F" w:rsidRDefault="00F50523" w:rsidP="00AE5F2E">
      <w:pPr>
        <w:widowControl w:val="0"/>
        <w:autoSpaceDE w:val="0"/>
        <w:autoSpaceDN w:val="0"/>
        <w:adjustRightInd w:val="0"/>
        <w:ind w:left="720" w:hanging="720"/>
        <w:rPr>
          <w:rFonts w:cs="Helvetica"/>
        </w:rPr>
      </w:pPr>
      <w:proofErr w:type="spellStart"/>
      <w:r w:rsidRPr="004A143F">
        <w:rPr>
          <w:rFonts w:cs="Helvetica"/>
        </w:rPr>
        <w:t>Meissner</w:t>
      </w:r>
      <w:proofErr w:type="spellEnd"/>
      <w:r w:rsidRPr="004A143F">
        <w:rPr>
          <w:rFonts w:cs="Helvetica"/>
        </w:rPr>
        <w:t xml:space="preserve">, W. W. (2006). The therapeutic alliance- a </w:t>
      </w:r>
      <w:proofErr w:type="spellStart"/>
      <w:r w:rsidRPr="004A143F">
        <w:rPr>
          <w:rFonts w:cs="Helvetica"/>
        </w:rPr>
        <w:t>proteus</w:t>
      </w:r>
      <w:proofErr w:type="spellEnd"/>
      <w:r w:rsidRPr="004A143F">
        <w:rPr>
          <w:rFonts w:cs="Helvetica"/>
        </w:rPr>
        <w:t xml:space="preserve"> in disguise. </w:t>
      </w:r>
      <w:r w:rsidRPr="004A143F">
        <w:rPr>
          <w:rFonts w:cs="Helvetica"/>
          <w:i/>
          <w:iCs/>
        </w:rPr>
        <w:t>Psychotherapy: Theory, Research, Practice, Training, 43</w:t>
      </w:r>
      <w:r w:rsidRPr="004A143F">
        <w:rPr>
          <w:rFonts w:cs="Helvetica"/>
        </w:rPr>
        <w:t xml:space="preserve">(3), 264-270. </w:t>
      </w:r>
    </w:p>
    <w:p w:rsidR="00904487" w:rsidRPr="004A143F" w:rsidRDefault="00904487" w:rsidP="00904487">
      <w:pPr>
        <w:widowControl w:val="0"/>
        <w:autoSpaceDE w:val="0"/>
        <w:autoSpaceDN w:val="0"/>
        <w:adjustRightInd w:val="0"/>
        <w:ind w:left="720" w:hanging="720"/>
        <w:rPr>
          <w:rFonts w:cs="Helvetica"/>
        </w:rPr>
      </w:pPr>
      <w:r w:rsidRPr="004A143F">
        <w:rPr>
          <w:rFonts w:cs="Helvetica"/>
        </w:rPr>
        <w:t xml:space="preserve">Miller, William R, &amp; </w:t>
      </w:r>
      <w:proofErr w:type="spellStart"/>
      <w:r w:rsidRPr="004A143F">
        <w:rPr>
          <w:rFonts w:cs="Helvetica"/>
        </w:rPr>
        <w:t>Rollnick</w:t>
      </w:r>
      <w:proofErr w:type="spellEnd"/>
      <w:r w:rsidRPr="004A143F">
        <w:rPr>
          <w:rFonts w:cs="Helvetica"/>
        </w:rPr>
        <w:t xml:space="preserve">, Stephen. (2009). Ten Things that Motivational Interviewing Is Not. </w:t>
      </w:r>
      <w:proofErr w:type="spellStart"/>
      <w:r w:rsidRPr="004A143F">
        <w:rPr>
          <w:rFonts w:cs="Helvetica"/>
          <w:i/>
          <w:iCs/>
        </w:rPr>
        <w:t>Behavioural</w:t>
      </w:r>
      <w:proofErr w:type="spellEnd"/>
      <w:r w:rsidRPr="004A143F">
        <w:rPr>
          <w:rFonts w:cs="Helvetica"/>
          <w:i/>
          <w:iCs/>
        </w:rPr>
        <w:t xml:space="preserve"> and Cognitive Psychotherapy, 37</w:t>
      </w:r>
      <w:r w:rsidRPr="004A143F">
        <w:rPr>
          <w:rFonts w:cs="Helvetica"/>
        </w:rPr>
        <w:t xml:space="preserve">, 129-140. </w:t>
      </w:r>
    </w:p>
    <w:p w:rsidR="00E005BA" w:rsidRPr="004A143F" w:rsidRDefault="00E005BA" w:rsidP="00E005BA">
      <w:pPr>
        <w:widowControl w:val="0"/>
        <w:autoSpaceDE w:val="0"/>
        <w:autoSpaceDN w:val="0"/>
        <w:adjustRightInd w:val="0"/>
        <w:ind w:left="720" w:hanging="720"/>
        <w:rPr>
          <w:rFonts w:cs="Helvetica"/>
        </w:rPr>
      </w:pPr>
      <w:r w:rsidRPr="004A143F">
        <w:rPr>
          <w:rFonts w:cs="Helvetica"/>
        </w:rPr>
        <w:t xml:space="preserve">Miller, W. R., &amp; Rose, G. S. (2009). Toward a theory of motivational interviewing. </w:t>
      </w:r>
      <w:r w:rsidRPr="004A143F">
        <w:rPr>
          <w:rFonts w:cs="Helvetica"/>
          <w:i/>
          <w:iCs/>
        </w:rPr>
        <w:t xml:space="preserve">Am </w:t>
      </w:r>
      <w:proofErr w:type="spellStart"/>
      <w:r w:rsidRPr="004A143F">
        <w:rPr>
          <w:rFonts w:cs="Helvetica"/>
          <w:i/>
          <w:iCs/>
        </w:rPr>
        <w:t>Psychol</w:t>
      </w:r>
      <w:proofErr w:type="spellEnd"/>
      <w:r w:rsidRPr="004A143F">
        <w:rPr>
          <w:rFonts w:cs="Helvetica"/>
          <w:i/>
          <w:iCs/>
        </w:rPr>
        <w:t>, 64</w:t>
      </w:r>
      <w:r w:rsidRPr="004A143F">
        <w:rPr>
          <w:rFonts w:cs="Helvetica"/>
        </w:rPr>
        <w:t xml:space="preserve">(6), 527-537. </w:t>
      </w:r>
      <w:proofErr w:type="spellStart"/>
      <w:r w:rsidRPr="004A143F">
        <w:rPr>
          <w:rFonts w:cs="Helvetica"/>
        </w:rPr>
        <w:t>doi</w:t>
      </w:r>
      <w:proofErr w:type="spellEnd"/>
      <w:r w:rsidRPr="004A143F">
        <w:rPr>
          <w:rFonts w:cs="Helvetica"/>
        </w:rPr>
        <w:t>: 10.1037/a0016830</w:t>
      </w:r>
    </w:p>
    <w:p w:rsidR="00562BED" w:rsidRPr="004A143F" w:rsidRDefault="00562BED" w:rsidP="0037186C">
      <w:pPr>
        <w:widowControl w:val="0"/>
        <w:autoSpaceDE w:val="0"/>
        <w:autoSpaceDN w:val="0"/>
        <w:adjustRightInd w:val="0"/>
        <w:ind w:left="720" w:hanging="720"/>
        <w:contextualSpacing/>
        <w:rPr>
          <w:rFonts w:cs="Helvetica"/>
        </w:rPr>
      </w:pPr>
      <w:proofErr w:type="spellStart"/>
      <w:r w:rsidRPr="004A143F">
        <w:rPr>
          <w:rFonts w:cs="Helvetica"/>
        </w:rPr>
        <w:t>Nissen</w:t>
      </w:r>
      <w:proofErr w:type="spellEnd"/>
      <w:r w:rsidRPr="004A143F">
        <w:rPr>
          <w:rFonts w:cs="Helvetica"/>
        </w:rPr>
        <w:t xml:space="preserve">, N., &amp; Evans, S. (2012). Exploring the practice and use of Western herbal medicine: Perspectives from the social science literature. </w:t>
      </w:r>
      <w:r w:rsidRPr="004A143F">
        <w:rPr>
          <w:rFonts w:cs="Helvetica"/>
          <w:i/>
          <w:iCs/>
        </w:rPr>
        <w:t>Journal of Herbal Medicine, 2</w:t>
      </w:r>
      <w:r w:rsidRPr="004A143F">
        <w:rPr>
          <w:rFonts w:cs="Helvetica"/>
        </w:rPr>
        <w:t xml:space="preserve">(1), 6-15. </w:t>
      </w:r>
      <w:proofErr w:type="spellStart"/>
      <w:r w:rsidRPr="004A143F">
        <w:rPr>
          <w:rFonts w:cs="Helvetica"/>
        </w:rPr>
        <w:t>doi</w:t>
      </w:r>
      <w:proofErr w:type="spellEnd"/>
      <w:r w:rsidRPr="004A143F">
        <w:rPr>
          <w:rFonts w:cs="Helvetica"/>
        </w:rPr>
        <w:t>: 10.1016/j.hermed.2012.02.001</w:t>
      </w:r>
    </w:p>
    <w:p w:rsidR="0037186C" w:rsidRPr="004A143F" w:rsidRDefault="0037186C" w:rsidP="0037186C">
      <w:pPr>
        <w:widowControl w:val="0"/>
        <w:autoSpaceDE w:val="0"/>
        <w:autoSpaceDN w:val="0"/>
        <w:adjustRightInd w:val="0"/>
        <w:spacing w:after="260"/>
        <w:ind w:left="720" w:hanging="720"/>
        <w:contextualSpacing/>
        <w:rPr>
          <w:rFonts w:cs="Verdana"/>
          <w:color w:val="535353"/>
          <w:szCs w:val="26"/>
        </w:rPr>
      </w:pPr>
      <w:proofErr w:type="spellStart"/>
      <w:r w:rsidRPr="004A143F">
        <w:rPr>
          <w:rFonts w:cs="Verdana"/>
          <w:color w:val="002851"/>
          <w:szCs w:val="26"/>
        </w:rPr>
        <w:t>Prochaska</w:t>
      </w:r>
      <w:proofErr w:type="spellEnd"/>
      <w:r w:rsidRPr="004A143F">
        <w:rPr>
          <w:rFonts w:cs="Verdana"/>
          <w:color w:val="002851"/>
          <w:szCs w:val="26"/>
        </w:rPr>
        <w:t xml:space="preserve">, J. O., </w:t>
      </w:r>
      <w:proofErr w:type="spellStart"/>
      <w:r w:rsidRPr="004A143F">
        <w:rPr>
          <w:rFonts w:cs="Verdana"/>
          <w:color w:val="002851"/>
          <w:szCs w:val="26"/>
        </w:rPr>
        <w:t>DiClemente</w:t>
      </w:r>
      <w:proofErr w:type="spellEnd"/>
      <w:r w:rsidRPr="004A143F">
        <w:rPr>
          <w:rFonts w:cs="Verdana"/>
          <w:color w:val="002851"/>
          <w:szCs w:val="26"/>
        </w:rPr>
        <w:t xml:space="preserve">, C. C. </w:t>
      </w:r>
      <w:r w:rsidR="00B82BD0" w:rsidRPr="004A143F">
        <w:rPr>
          <w:rFonts w:cs="Verdana"/>
          <w:color w:val="002851"/>
          <w:szCs w:val="26"/>
        </w:rPr>
        <w:t xml:space="preserve">(1982).  </w:t>
      </w:r>
      <w:proofErr w:type="spellStart"/>
      <w:r w:rsidRPr="004A143F">
        <w:rPr>
          <w:rFonts w:cs="Verdana"/>
          <w:color w:val="002851"/>
          <w:szCs w:val="26"/>
        </w:rPr>
        <w:t>Transtheoretical</w:t>
      </w:r>
      <w:proofErr w:type="spellEnd"/>
      <w:r w:rsidRPr="004A143F">
        <w:rPr>
          <w:rFonts w:cs="Verdana"/>
          <w:color w:val="002851"/>
          <w:szCs w:val="26"/>
        </w:rPr>
        <w:t xml:space="preserve"> therapy: toward a more integrative model of change. </w:t>
      </w:r>
      <w:r w:rsidRPr="004A143F">
        <w:rPr>
          <w:rFonts w:cs="Verdana"/>
          <w:i/>
          <w:iCs/>
          <w:color w:val="002851"/>
          <w:szCs w:val="26"/>
        </w:rPr>
        <w:t>Psychotherapy</w:t>
      </w:r>
      <w:r w:rsidR="00B82BD0" w:rsidRPr="004A143F">
        <w:rPr>
          <w:rFonts w:cs="Verdana"/>
          <w:color w:val="002851"/>
          <w:szCs w:val="26"/>
        </w:rPr>
        <w:t xml:space="preserve">, </w:t>
      </w:r>
      <w:r w:rsidRPr="004A143F">
        <w:rPr>
          <w:rFonts w:cs="Verdana"/>
          <w:color w:val="002851"/>
          <w:szCs w:val="26"/>
        </w:rPr>
        <w:t xml:space="preserve">19(3):279-88. </w:t>
      </w:r>
    </w:p>
    <w:p w:rsidR="00975EB4" w:rsidRPr="004A143F" w:rsidRDefault="00975EB4" w:rsidP="0037186C">
      <w:pPr>
        <w:widowControl w:val="0"/>
        <w:autoSpaceDE w:val="0"/>
        <w:autoSpaceDN w:val="0"/>
        <w:adjustRightInd w:val="0"/>
        <w:ind w:left="720" w:hanging="720"/>
        <w:contextualSpacing/>
        <w:rPr>
          <w:rFonts w:cs="Helvetica"/>
        </w:rPr>
      </w:pPr>
      <w:proofErr w:type="spellStart"/>
      <w:r w:rsidRPr="004A143F">
        <w:rPr>
          <w:rFonts w:cs="Helvetica"/>
        </w:rPr>
        <w:t>Rubak</w:t>
      </w:r>
      <w:proofErr w:type="spellEnd"/>
      <w:r w:rsidRPr="004A143F">
        <w:rPr>
          <w:rFonts w:cs="Helvetica"/>
        </w:rPr>
        <w:t xml:space="preserve">, S., </w:t>
      </w:r>
      <w:proofErr w:type="spellStart"/>
      <w:r w:rsidRPr="004A143F">
        <w:rPr>
          <w:rFonts w:cs="Helvetica"/>
        </w:rPr>
        <w:t>Sandbaek</w:t>
      </w:r>
      <w:proofErr w:type="spellEnd"/>
      <w:r w:rsidRPr="004A143F">
        <w:rPr>
          <w:rFonts w:cs="Helvetica"/>
        </w:rPr>
        <w:t xml:space="preserve">, A., </w:t>
      </w:r>
      <w:proofErr w:type="spellStart"/>
      <w:r w:rsidRPr="004A143F">
        <w:rPr>
          <w:rFonts w:cs="Helvetica"/>
        </w:rPr>
        <w:t>Lauritzen</w:t>
      </w:r>
      <w:proofErr w:type="spellEnd"/>
      <w:r w:rsidRPr="004A143F">
        <w:rPr>
          <w:rFonts w:cs="Helvetica"/>
        </w:rPr>
        <w:t xml:space="preserve">, T., &amp; Christensen, B. (2005). Motivational interviewing: a systematic review and meta-analysis. </w:t>
      </w:r>
      <w:r w:rsidRPr="004A143F">
        <w:rPr>
          <w:rFonts w:cs="Helvetica"/>
          <w:i/>
          <w:iCs/>
        </w:rPr>
        <w:t xml:space="preserve">Br J Gen </w:t>
      </w:r>
      <w:proofErr w:type="spellStart"/>
      <w:r w:rsidRPr="004A143F">
        <w:rPr>
          <w:rFonts w:cs="Helvetica"/>
          <w:i/>
          <w:iCs/>
        </w:rPr>
        <w:t>Pract</w:t>
      </w:r>
      <w:proofErr w:type="spellEnd"/>
      <w:r w:rsidRPr="004A143F">
        <w:rPr>
          <w:rFonts w:cs="Helvetica"/>
          <w:i/>
          <w:iCs/>
        </w:rPr>
        <w:t>, 55</w:t>
      </w:r>
      <w:r w:rsidRPr="004A143F">
        <w:rPr>
          <w:rFonts w:cs="Helvetica"/>
        </w:rPr>
        <w:t xml:space="preserve">(513), 305-312. </w:t>
      </w:r>
    </w:p>
    <w:p w:rsidR="0052789B" w:rsidRPr="004A143F" w:rsidRDefault="00562BED" w:rsidP="00B82BD0">
      <w:pPr>
        <w:widowControl w:val="0"/>
        <w:autoSpaceDE w:val="0"/>
        <w:autoSpaceDN w:val="0"/>
        <w:adjustRightInd w:val="0"/>
        <w:ind w:left="720" w:hanging="720"/>
        <w:contextualSpacing/>
        <w:rPr>
          <w:rFonts w:cs="Helvetica"/>
        </w:rPr>
      </w:pPr>
      <w:r w:rsidRPr="004A143F">
        <w:rPr>
          <w:rFonts w:cs="Helvetica"/>
        </w:rPr>
        <w:t>Weiss, R.</w:t>
      </w:r>
      <w:r w:rsidR="00143B09" w:rsidRPr="004A143F">
        <w:rPr>
          <w:rFonts w:cs="Helvetica"/>
        </w:rPr>
        <w:t xml:space="preserve"> F. (1985). </w:t>
      </w:r>
      <w:r w:rsidR="00143B09" w:rsidRPr="004A143F">
        <w:rPr>
          <w:rFonts w:cs="Helvetica"/>
          <w:i/>
          <w:iCs/>
        </w:rPr>
        <w:t>Herbal Medicine</w:t>
      </w:r>
      <w:r w:rsidR="00143B09" w:rsidRPr="004A143F">
        <w:rPr>
          <w:rFonts w:cs="Helvetica"/>
        </w:rPr>
        <w:t xml:space="preserve"> (A. R. </w:t>
      </w:r>
      <w:proofErr w:type="spellStart"/>
      <w:r w:rsidR="00143B09" w:rsidRPr="004A143F">
        <w:rPr>
          <w:rFonts w:cs="Helvetica"/>
        </w:rPr>
        <w:t>Meuss</w:t>
      </w:r>
      <w:proofErr w:type="spellEnd"/>
      <w:r w:rsidR="00143B09" w:rsidRPr="004A143F">
        <w:rPr>
          <w:rFonts w:cs="Helvetica"/>
        </w:rPr>
        <w:t>, Trans. 6th ed.). Beaconsfield: Beaconsfield Publishers, LTD.</w:t>
      </w:r>
    </w:p>
    <w:p w:rsidR="007B08CA" w:rsidRPr="004A143F" w:rsidRDefault="007B08CA" w:rsidP="00525CF4">
      <w:pPr>
        <w:rPr>
          <w:rFonts w:cs="Times New Roman"/>
          <w:b/>
          <w:szCs w:val="22"/>
          <w:u w:val="single"/>
        </w:rPr>
      </w:pPr>
    </w:p>
    <w:p w:rsidR="00597EE3" w:rsidRPr="004A143F" w:rsidRDefault="00597EE3" w:rsidP="00597EE3">
      <w:pPr>
        <w:outlineLvl w:val="0"/>
        <w:rPr>
          <w:b/>
          <w:szCs w:val="20"/>
          <w:u w:val="single"/>
        </w:rPr>
      </w:pPr>
      <w:r w:rsidRPr="004A143F">
        <w:rPr>
          <w:b/>
          <w:szCs w:val="20"/>
          <w:u w:val="single"/>
        </w:rPr>
        <w:t>Clinical Resources</w:t>
      </w:r>
    </w:p>
    <w:p w:rsidR="00151FCA" w:rsidRPr="004A143F" w:rsidRDefault="00F01820" w:rsidP="00260970">
      <w:pPr>
        <w:outlineLvl w:val="0"/>
        <w:rPr>
          <w:rFonts w:cs="Times New Roman"/>
          <w:b/>
          <w:szCs w:val="22"/>
          <w:u w:val="single"/>
        </w:rPr>
      </w:pPr>
      <w:r w:rsidRPr="004A143F">
        <w:rPr>
          <w:rFonts w:cs="Times New Roman"/>
          <w:b/>
          <w:szCs w:val="22"/>
          <w:u w:val="single"/>
        </w:rPr>
        <w:t>Recommended Reading</w:t>
      </w:r>
    </w:p>
    <w:p w:rsidR="00151FCA" w:rsidRPr="004A143F" w:rsidRDefault="00151FCA" w:rsidP="007B08CA">
      <w:pPr>
        <w:widowControl w:val="0"/>
        <w:autoSpaceDE w:val="0"/>
        <w:autoSpaceDN w:val="0"/>
        <w:adjustRightInd w:val="0"/>
        <w:rPr>
          <w:rFonts w:eastAsia="Calibri" w:cs="Helvetica"/>
        </w:rPr>
      </w:pPr>
      <w:r w:rsidRPr="004A143F">
        <w:rPr>
          <w:rFonts w:eastAsia="Calibri" w:cs="Helvetica"/>
        </w:rPr>
        <w:t xml:space="preserve">Conway, P. (2011). </w:t>
      </w:r>
      <w:r w:rsidRPr="004A143F">
        <w:rPr>
          <w:rFonts w:eastAsia="Calibri" w:cs="Helvetica"/>
          <w:i/>
        </w:rPr>
        <w:t xml:space="preserve">The Consultation in </w:t>
      </w:r>
      <w:proofErr w:type="spellStart"/>
      <w:r w:rsidRPr="004A143F">
        <w:rPr>
          <w:rFonts w:eastAsia="Calibri" w:cs="Helvetica"/>
          <w:i/>
        </w:rPr>
        <w:t>Phytotherapy</w:t>
      </w:r>
      <w:proofErr w:type="spellEnd"/>
      <w:r w:rsidRPr="004A143F">
        <w:rPr>
          <w:rFonts w:eastAsia="Calibri" w:cs="Helvetica"/>
        </w:rPr>
        <w:t xml:space="preserve"> (pp 205-321). Edinburgh: Churchill Livingstone, Elsevier. </w:t>
      </w:r>
    </w:p>
    <w:p w:rsidR="007B08CA" w:rsidRPr="004A143F" w:rsidRDefault="007B08CA" w:rsidP="007B08CA">
      <w:pPr>
        <w:pStyle w:val="ListParagraph"/>
        <w:widowControl w:val="0"/>
        <w:autoSpaceDE w:val="0"/>
        <w:autoSpaceDN w:val="0"/>
        <w:adjustRightInd w:val="0"/>
        <w:rPr>
          <w:rFonts w:eastAsia="Calibri" w:cs="Helvetica"/>
        </w:rPr>
      </w:pPr>
    </w:p>
    <w:p w:rsidR="00151FCA" w:rsidRPr="004A143F" w:rsidRDefault="00151FCA" w:rsidP="007B08CA">
      <w:pPr>
        <w:widowControl w:val="0"/>
        <w:autoSpaceDE w:val="0"/>
        <w:autoSpaceDN w:val="0"/>
        <w:adjustRightInd w:val="0"/>
        <w:rPr>
          <w:rFonts w:eastAsia="Calibri" w:cs="Helvetica"/>
        </w:rPr>
      </w:pPr>
      <w:r w:rsidRPr="004A143F">
        <w:rPr>
          <w:rFonts w:eastAsia="Calibri" w:cs="Helvetica"/>
        </w:rPr>
        <w:t>Mason, P., C. Butler, et al. (2010).</w:t>
      </w:r>
      <w:r w:rsidRPr="004A143F">
        <w:rPr>
          <w:rFonts w:eastAsia="Calibri" w:cs="Helvetica"/>
          <w:i/>
        </w:rPr>
        <w:t xml:space="preserve"> Health Behavior Change: A Guide for Practitioners</w:t>
      </w:r>
      <w:r w:rsidRPr="004A143F">
        <w:rPr>
          <w:rFonts w:eastAsia="Calibri" w:cs="Helvetica"/>
        </w:rPr>
        <w:t xml:space="preserve">. Edinburgh: Churchill Livingstone/Elsevier. </w:t>
      </w:r>
      <w:r w:rsidRPr="004A143F">
        <w:rPr>
          <w:rFonts w:cs="Helvetica"/>
          <w:i/>
        </w:rPr>
        <w:t>Select readings</w:t>
      </w:r>
    </w:p>
    <w:p w:rsidR="007B08CA" w:rsidRPr="004A143F" w:rsidRDefault="007B08CA" w:rsidP="007B08CA">
      <w:pPr>
        <w:pStyle w:val="ListParagraph"/>
        <w:widowControl w:val="0"/>
        <w:autoSpaceDE w:val="0"/>
        <w:autoSpaceDN w:val="0"/>
        <w:adjustRightInd w:val="0"/>
        <w:rPr>
          <w:rFonts w:eastAsia="Calibri" w:cs="Helvetica"/>
        </w:rPr>
      </w:pPr>
    </w:p>
    <w:p w:rsidR="00280C3E" w:rsidRPr="004A143F" w:rsidRDefault="00151FCA" w:rsidP="007B08CA">
      <w:pPr>
        <w:widowControl w:val="0"/>
        <w:autoSpaceDE w:val="0"/>
        <w:autoSpaceDN w:val="0"/>
        <w:adjustRightInd w:val="0"/>
        <w:rPr>
          <w:rFonts w:eastAsia="Calibri" w:cs="Helvetica"/>
        </w:rPr>
      </w:pPr>
      <w:proofErr w:type="spellStart"/>
      <w:r w:rsidRPr="004A143F">
        <w:rPr>
          <w:rFonts w:eastAsia="Calibri" w:cs="Helvetica"/>
        </w:rPr>
        <w:t>Rollnick</w:t>
      </w:r>
      <w:proofErr w:type="spellEnd"/>
      <w:r w:rsidRPr="004A143F">
        <w:rPr>
          <w:rFonts w:eastAsia="Calibri" w:cs="Helvetica"/>
        </w:rPr>
        <w:t xml:space="preserve">, S., W. R. Miller, et al. (2008). </w:t>
      </w:r>
      <w:r w:rsidRPr="004A143F">
        <w:rPr>
          <w:rFonts w:eastAsia="Calibri" w:cs="Helvetica"/>
          <w:i/>
        </w:rPr>
        <w:t>Motivational Interviewing in Health Care:  Helping Patients with Change Behavior</w:t>
      </w:r>
      <w:r w:rsidRPr="004A143F">
        <w:rPr>
          <w:rFonts w:eastAsia="Calibri" w:cs="Helvetica"/>
        </w:rPr>
        <w:t>. New York: The Guilford Press.</w:t>
      </w:r>
    </w:p>
    <w:p w:rsidR="00151FCA" w:rsidRPr="004A143F" w:rsidRDefault="00151FCA" w:rsidP="00525CF4">
      <w:pPr>
        <w:rPr>
          <w:szCs w:val="20"/>
        </w:rPr>
      </w:pPr>
    </w:p>
    <w:p w:rsidR="00597EE3" w:rsidRPr="004A143F" w:rsidRDefault="00597EE3" w:rsidP="00260970">
      <w:pPr>
        <w:rPr>
          <w:b/>
          <w:u w:val="single"/>
        </w:rPr>
      </w:pPr>
      <w:r w:rsidRPr="004A143F">
        <w:rPr>
          <w:b/>
          <w:u w:val="single"/>
        </w:rPr>
        <w:t>Websites</w:t>
      </w:r>
    </w:p>
    <w:p w:rsidR="005127FB" w:rsidRPr="004A143F" w:rsidRDefault="005127FB" w:rsidP="005127FB">
      <w:pPr>
        <w:rPr>
          <w:b/>
          <w:szCs w:val="20"/>
        </w:rPr>
      </w:pPr>
      <w:r w:rsidRPr="004A143F">
        <w:rPr>
          <w:b/>
          <w:szCs w:val="20"/>
        </w:rPr>
        <w:t>ATTC Network on Motivational Interviewing</w:t>
      </w:r>
    </w:p>
    <w:p w:rsidR="005127FB" w:rsidRPr="004A143F" w:rsidRDefault="005127FB" w:rsidP="005127FB">
      <w:pPr>
        <w:rPr>
          <w:b/>
          <w:szCs w:val="20"/>
        </w:rPr>
      </w:pPr>
      <w:hyperlink r:id="rId5" w:history="1">
        <w:r w:rsidRPr="004A143F">
          <w:rPr>
            <w:rStyle w:val="Hyperlink"/>
            <w:b/>
            <w:szCs w:val="20"/>
          </w:rPr>
          <w:t>http://www.motivationalinterview.org/index.html</w:t>
        </w:r>
      </w:hyperlink>
      <w:r w:rsidRPr="004A143F">
        <w:rPr>
          <w:b/>
          <w:szCs w:val="20"/>
        </w:rPr>
        <w:t xml:space="preserve"> </w:t>
      </w:r>
    </w:p>
    <w:p w:rsidR="005127FB" w:rsidRPr="004A143F" w:rsidRDefault="005127FB" w:rsidP="005127FB">
      <w:pPr>
        <w:rPr>
          <w:szCs w:val="20"/>
        </w:rPr>
      </w:pPr>
      <w:r w:rsidRPr="004A143F">
        <w:rPr>
          <w:szCs w:val="20"/>
          <w:u w:val="single"/>
        </w:rPr>
        <w:t>Key Resources</w:t>
      </w:r>
      <w:r w:rsidRPr="004A143F">
        <w:rPr>
          <w:szCs w:val="20"/>
        </w:rPr>
        <w:t>: Articles and videos with Bill Miller, one of the co-originators of MI, and an introductory webinar to evidence-based program and implementation process listed under “MI Basics”; Several useful handouts and skills sheets listed under “Skills and Tools” for “Clinicians”</w:t>
      </w:r>
    </w:p>
    <w:p w:rsidR="005127FB" w:rsidRPr="004A143F" w:rsidRDefault="005127FB" w:rsidP="005127FB">
      <w:pPr>
        <w:rPr>
          <w:b/>
        </w:rPr>
      </w:pPr>
    </w:p>
    <w:p w:rsidR="005127FB" w:rsidRPr="004A143F" w:rsidRDefault="005127FB" w:rsidP="005127FB">
      <w:pPr>
        <w:rPr>
          <w:b/>
        </w:rPr>
      </w:pPr>
      <w:r w:rsidRPr="004A143F">
        <w:rPr>
          <w:b/>
        </w:rPr>
        <w:t xml:space="preserve">Boston University School of Public Health, The BNI ART Institute </w:t>
      </w:r>
    </w:p>
    <w:p w:rsidR="005127FB" w:rsidRPr="004A143F" w:rsidRDefault="005127FB" w:rsidP="005127FB">
      <w:pPr>
        <w:rPr>
          <w:b/>
          <w:color w:val="0000FF"/>
        </w:rPr>
      </w:pPr>
      <w:hyperlink r:id="rId6" w:history="1">
        <w:r w:rsidRPr="004A143F">
          <w:rPr>
            <w:rStyle w:val="Hyperlink"/>
            <w:b/>
            <w:color w:val="0000FF"/>
          </w:rPr>
          <w:t>http://www.bu.edu/bniart/sbirt-in-health-care/sbirt-educational-materials/</w:t>
        </w:r>
      </w:hyperlink>
      <w:r w:rsidR="001B168C" w:rsidRPr="004A143F">
        <w:rPr>
          <w:color w:val="0000FF"/>
        </w:rPr>
        <w:t xml:space="preserve"> </w:t>
      </w:r>
      <w:r w:rsidRPr="004A143F">
        <w:rPr>
          <w:b/>
          <w:color w:val="0000FF"/>
        </w:rPr>
        <w:t xml:space="preserve">    </w:t>
      </w:r>
    </w:p>
    <w:p w:rsidR="001B168C" w:rsidRPr="004A143F" w:rsidRDefault="005127FB" w:rsidP="005127FB">
      <w:r w:rsidRPr="004A143F">
        <w:rPr>
          <w:u w:val="single"/>
        </w:rPr>
        <w:t>Key resources</w:t>
      </w:r>
      <w:r w:rsidRPr="004A143F">
        <w:t>: Videos of Brief Negotiated Interviews by conventional health practitioners under “SBIRT Materials” and “Videos”; Substance abuse screening and educational tools</w:t>
      </w:r>
      <w:r w:rsidR="001B168C" w:rsidRPr="004A143F">
        <w:t xml:space="preserve"> under “Screening Tools”</w:t>
      </w:r>
    </w:p>
    <w:p w:rsidR="001B168C" w:rsidRPr="004A143F" w:rsidRDefault="001B168C" w:rsidP="005127FB"/>
    <w:p w:rsidR="005127FB" w:rsidRPr="004A143F" w:rsidRDefault="001B168C" w:rsidP="005127FB">
      <w:pPr>
        <w:rPr>
          <w:b/>
        </w:rPr>
      </w:pPr>
      <w:r w:rsidRPr="004A143F">
        <w:rPr>
          <w:b/>
        </w:rPr>
        <w:t xml:space="preserve"> </w:t>
      </w:r>
      <w:r w:rsidR="005127FB" w:rsidRPr="004A143F">
        <w:rPr>
          <w:b/>
        </w:rPr>
        <w:t xml:space="preserve">Case Western Reserve University, Center for Evidence Based Practices </w:t>
      </w:r>
      <w:hyperlink r:id="rId7" w:history="1">
        <w:r w:rsidR="005127FB" w:rsidRPr="004A143F">
          <w:rPr>
            <w:rStyle w:val="Hyperlink"/>
            <w:b/>
          </w:rPr>
          <w:t>http://www.centerforebp.case.edu/resources/tools/the-spirit-of-mi</w:t>
        </w:r>
      </w:hyperlink>
      <w:r w:rsidR="005127FB" w:rsidRPr="004A143F">
        <w:rPr>
          <w:b/>
        </w:rPr>
        <w:t xml:space="preserve">   </w:t>
      </w:r>
    </w:p>
    <w:p w:rsidR="005127FB" w:rsidRPr="004A143F" w:rsidRDefault="005127FB" w:rsidP="005127FB">
      <w:r w:rsidRPr="004A143F">
        <w:rPr>
          <w:u w:val="single"/>
        </w:rPr>
        <w:t>Key resources</w:t>
      </w:r>
      <w:r w:rsidRPr="004A143F">
        <w:t xml:space="preserve">: Short audio clips on the Spirit of MI, including topics such as ambivalence, tone of voice, rolling with resistance. </w:t>
      </w:r>
    </w:p>
    <w:p w:rsidR="005127FB" w:rsidRPr="004A143F" w:rsidRDefault="005127FB" w:rsidP="005127FB"/>
    <w:p w:rsidR="005127FB" w:rsidRPr="004A143F" w:rsidRDefault="00260970" w:rsidP="00260970">
      <w:pPr>
        <w:rPr>
          <w:b/>
        </w:rPr>
      </w:pPr>
      <w:r w:rsidRPr="004A143F">
        <w:rPr>
          <w:b/>
        </w:rPr>
        <w:t xml:space="preserve">Health Behavior Change </w:t>
      </w:r>
    </w:p>
    <w:p w:rsidR="00260970" w:rsidRPr="004A143F" w:rsidRDefault="00F0492F" w:rsidP="00260970">
      <w:pPr>
        <w:rPr>
          <w:szCs w:val="20"/>
          <w:u w:val="single"/>
        </w:rPr>
      </w:pPr>
      <w:hyperlink r:id="rId8" w:history="1">
        <w:r w:rsidR="00767556" w:rsidRPr="004A143F">
          <w:rPr>
            <w:rStyle w:val="Hyperlink"/>
            <w:b/>
            <w:szCs w:val="20"/>
          </w:rPr>
          <w:t>http://www.elsevierhealthbehaviorchange.com/assets.php</w:t>
        </w:r>
      </w:hyperlink>
      <w:r w:rsidR="001B168C" w:rsidRPr="004A143F">
        <w:t xml:space="preserve"> </w:t>
      </w:r>
      <w:r w:rsidR="00767556" w:rsidRPr="004A143F">
        <w:rPr>
          <w:szCs w:val="20"/>
          <w:u w:val="single"/>
        </w:rPr>
        <w:t xml:space="preserve"> </w:t>
      </w:r>
    </w:p>
    <w:p w:rsidR="002F07DF" w:rsidRPr="004A143F" w:rsidRDefault="00F01820" w:rsidP="00260970">
      <w:pPr>
        <w:rPr>
          <w:szCs w:val="20"/>
        </w:rPr>
      </w:pPr>
      <w:r w:rsidRPr="004A143F">
        <w:rPr>
          <w:szCs w:val="20"/>
        </w:rPr>
        <w:t>C</w:t>
      </w:r>
      <w:r w:rsidR="002F07DF" w:rsidRPr="004A143F">
        <w:rPr>
          <w:szCs w:val="20"/>
        </w:rPr>
        <w:t xml:space="preserve">orresponds to Mason and Butler, 2010 book above </w:t>
      </w:r>
    </w:p>
    <w:p w:rsidR="00260970" w:rsidRPr="004A143F" w:rsidRDefault="002F07DF" w:rsidP="005127FB">
      <w:r w:rsidRPr="004A143F">
        <w:rPr>
          <w:szCs w:val="20"/>
          <w:u w:val="single"/>
        </w:rPr>
        <w:t>Key resources</w:t>
      </w:r>
      <w:r w:rsidRPr="004A143F">
        <w:rPr>
          <w:szCs w:val="20"/>
        </w:rPr>
        <w:t xml:space="preserve">:  </w:t>
      </w:r>
      <w:r w:rsidR="005127FB" w:rsidRPr="004A143F">
        <w:rPr>
          <w:szCs w:val="20"/>
        </w:rPr>
        <w:t>S</w:t>
      </w:r>
      <w:r w:rsidR="0087086A" w:rsidRPr="004A143F">
        <w:rPr>
          <w:szCs w:val="20"/>
        </w:rPr>
        <w:t>everal</w:t>
      </w:r>
      <w:r w:rsidR="00767556" w:rsidRPr="004A143F">
        <w:rPr>
          <w:szCs w:val="20"/>
        </w:rPr>
        <w:t xml:space="preserve"> worksheets to assist your c</w:t>
      </w:r>
      <w:r w:rsidR="0087086A" w:rsidRPr="004A143F">
        <w:rPr>
          <w:szCs w:val="20"/>
        </w:rPr>
        <w:t xml:space="preserve">linical practice, including 1) </w:t>
      </w:r>
      <w:r w:rsidR="00767556" w:rsidRPr="004A143F">
        <w:rPr>
          <w:szCs w:val="20"/>
        </w:rPr>
        <w:t xml:space="preserve">Agenda Setting Chart, </w:t>
      </w:r>
      <w:r w:rsidR="0087086A" w:rsidRPr="004A143F">
        <w:rPr>
          <w:szCs w:val="20"/>
        </w:rPr>
        <w:t>2) Decision Balance S</w:t>
      </w:r>
      <w:r w:rsidR="00767556" w:rsidRPr="004A143F">
        <w:rPr>
          <w:szCs w:val="20"/>
        </w:rPr>
        <w:t xml:space="preserve">heet, </w:t>
      </w:r>
      <w:r w:rsidR="0087086A" w:rsidRPr="004A143F">
        <w:rPr>
          <w:szCs w:val="20"/>
        </w:rPr>
        <w:t xml:space="preserve">3) </w:t>
      </w:r>
      <w:r w:rsidR="00767556" w:rsidRPr="004A143F">
        <w:rPr>
          <w:szCs w:val="20"/>
        </w:rPr>
        <w:t xml:space="preserve">Readiness Ruler, </w:t>
      </w:r>
      <w:r w:rsidR="0087086A" w:rsidRPr="004A143F">
        <w:rPr>
          <w:szCs w:val="20"/>
        </w:rPr>
        <w:t>4) Importance and Confidence C</w:t>
      </w:r>
      <w:r w:rsidR="00767556" w:rsidRPr="004A143F">
        <w:rPr>
          <w:szCs w:val="20"/>
        </w:rPr>
        <w:t>ontinuum</w:t>
      </w:r>
      <w:r w:rsidR="005127FB" w:rsidRPr="004A143F">
        <w:rPr>
          <w:szCs w:val="20"/>
        </w:rPr>
        <w:t>; A 20-minute video that</w:t>
      </w:r>
      <w:r w:rsidR="00260970" w:rsidRPr="004A143F">
        <w:rPr>
          <w:szCs w:val="20"/>
        </w:rPr>
        <w:t xml:space="preserve"> </w:t>
      </w:r>
      <w:r w:rsidR="005127FB" w:rsidRPr="004A143F">
        <w:t xml:space="preserve">models MI in a patient and practitioner interaction.  </w:t>
      </w:r>
      <w:r w:rsidR="00260970" w:rsidRPr="004A143F">
        <w:t>The practitioner uses numerous MI skills such as agenda setting, building rapport, asking open questions, building client efficacy, eliciting change talk, and importance and confidence scales.</w:t>
      </w:r>
    </w:p>
    <w:p w:rsidR="002F07DF" w:rsidRPr="006342C2" w:rsidRDefault="002F07DF" w:rsidP="00525CF4">
      <w:pPr>
        <w:rPr>
          <w:szCs w:val="20"/>
        </w:rPr>
      </w:pPr>
    </w:p>
    <w:sectPr w:rsidR="002F07DF" w:rsidRPr="006342C2" w:rsidSect="003718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20B0503030404040204"/>
    <w:charset w:val="00"/>
    <w:family w:val="auto"/>
    <w:pitch w:val="variable"/>
    <w:sig w:usb0="00000003" w:usb1="00000000" w:usb2="00000000" w:usb3="00000000" w:csb0="00000001" w:csb1="00000000"/>
  </w:font>
  <w:font w:name="Latha">
    <w:charset w:val="00"/>
    <w:family w:val="auto"/>
    <w:pitch w:val="variable"/>
    <w:sig w:usb0="001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200A"/>
    <w:multiLevelType w:val="hybridMultilevel"/>
    <w:tmpl w:val="65BAF0AA"/>
    <w:lvl w:ilvl="0" w:tplc="D62A8756">
      <w:start w:val="264"/>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2191F"/>
    <w:multiLevelType w:val="hybridMultilevel"/>
    <w:tmpl w:val="EF60BC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F0A9A"/>
    <w:multiLevelType w:val="hybridMultilevel"/>
    <w:tmpl w:val="E5AA2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328FA"/>
    <w:multiLevelType w:val="hybridMultilevel"/>
    <w:tmpl w:val="FF0C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437DF"/>
    <w:multiLevelType w:val="hybridMultilevel"/>
    <w:tmpl w:val="4A24D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24EFC"/>
    <w:multiLevelType w:val="hybridMultilevel"/>
    <w:tmpl w:val="37D0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B2E15"/>
    <w:multiLevelType w:val="hybridMultilevel"/>
    <w:tmpl w:val="0C546F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E7F72"/>
    <w:multiLevelType w:val="hybridMultilevel"/>
    <w:tmpl w:val="E7F0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56A38"/>
    <w:rsid w:val="00026401"/>
    <w:rsid w:val="00082DB5"/>
    <w:rsid w:val="0009006A"/>
    <w:rsid w:val="00094937"/>
    <w:rsid w:val="000D4EB0"/>
    <w:rsid w:val="000F6821"/>
    <w:rsid w:val="000F6B69"/>
    <w:rsid w:val="00122F37"/>
    <w:rsid w:val="00143B09"/>
    <w:rsid w:val="00151FCA"/>
    <w:rsid w:val="001B168C"/>
    <w:rsid w:val="001C2A3C"/>
    <w:rsid w:val="001C2F9C"/>
    <w:rsid w:val="001C56C7"/>
    <w:rsid w:val="002136B1"/>
    <w:rsid w:val="002232CE"/>
    <w:rsid w:val="00227935"/>
    <w:rsid w:val="00246C57"/>
    <w:rsid w:val="00256A38"/>
    <w:rsid w:val="00260970"/>
    <w:rsid w:val="00280C3E"/>
    <w:rsid w:val="002A2CDA"/>
    <w:rsid w:val="002F07DF"/>
    <w:rsid w:val="00302A0D"/>
    <w:rsid w:val="0033213C"/>
    <w:rsid w:val="00355735"/>
    <w:rsid w:val="0037186C"/>
    <w:rsid w:val="00386FA5"/>
    <w:rsid w:val="003E3678"/>
    <w:rsid w:val="003E6E4D"/>
    <w:rsid w:val="003F1BAF"/>
    <w:rsid w:val="0040246D"/>
    <w:rsid w:val="004345C9"/>
    <w:rsid w:val="00451EA9"/>
    <w:rsid w:val="00454157"/>
    <w:rsid w:val="0045507E"/>
    <w:rsid w:val="00494821"/>
    <w:rsid w:val="0049757E"/>
    <w:rsid w:val="004A0163"/>
    <w:rsid w:val="004A143F"/>
    <w:rsid w:val="004B29B5"/>
    <w:rsid w:val="004F64DE"/>
    <w:rsid w:val="00500DA3"/>
    <w:rsid w:val="0051264C"/>
    <w:rsid w:val="005127FB"/>
    <w:rsid w:val="00523F00"/>
    <w:rsid w:val="005249F7"/>
    <w:rsid w:val="00525CF4"/>
    <w:rsid w:val="0052789B"/>
    <w:rsid w:val="00545623"/>
    <w:rsid w:val="00562BED"/>
    <w:rsid w:val="00581C49"/>
    <w:rsid w:val="00597EE3"/>
    <w:rsid w:val="005A6641"/>
    <w:rsid w:val="005B2FF8"/>
    <w:rsid w:val="005B70CC"/>
    <w:rsid w:val="005C6A4F"/>
    <w:rsid w:val="005D0252"/>
    <w:rsid w:val="005E00D9"/>
    <w:rsid w:val="005F1279"/>
    <w:rsid w:val="005F296C"/>
    <w:rsid w:val="006342C2"/>
    <w:rsid w:val="006375A4"/>
    <w:rsid w:val="0065187F"/>
    <w:rsid w:val="006609C9"/>
    <w:rsid w:val="00672C32"/>
    <w:rsid w:val="006E0698"/>
    <w:rsid w:val="006F1205"/>
    <w:rsid w:val="00714E02"/>
    <w:rsid w:val="00717DD0"/>
    <w:rsid w:val="00742033"/>
    <w:rsid w:val="0074731A"/>
    <w:rsid w:val="00767556"/>
    <w:rsid w:val="007B0267"/>
    <w:rsid w:val="007B086F"/>
    <w:rsid w:val="007B08CA"/>
    <w:rsid w:val="007B5509"/>
    <w:rsid w:val="007D4117"/>
    <w:rsid w:val="007E59AE"/>
    <w:rsid w:val="007F5E45"/>
    <w:rsid w:val="007F61D5"/>
    <w:rsid w:val="0084130D"/>
    <w:rsid w:val="0087086A"/>
    <w:rsid w:val="00885303"/>
    <w:rsid w:val="00894259"/>
    <w:rsid w:val="008961FF"/>
    <w:rsid w:val="008A66A6"/>
    <w:rsid w:val="008B4D0A"/>
    <w:rsid w:val="008C11FF"/>
    <w:rsid w:val="008E28CE"/>
    <w:rsid w:val="00904487"/>
    <w:rsid w:val="00906BBB"/>
    <w:rsid w:val="009225B6"/>
    <w:rsid w:val="009255D6"/>
    <w:rsid w:val="00933DDD"/>
    <w:rsid w:val="00937734"/>
    <w:rsid w:val="00956EB4"/>
    <w:rsid w:val="00975EB4"/>
    <w:rsid w:val="00993765"/>
    <w:rsid w:val="009E5426"/>
    <w:rsid w:val="009E673A"/>
    <w:rsid w:val="009E70CD"/>
    <w:rsid w:val="00A111FA"/>
    <w:rsid w:val="00A12803"/>
    <w:rsid w:val="00A53E79"/>
    <w:rsid w:val="00A850FE"/>
    <w:rsid w:val="00AA1FCA"/>
    <w:rsid w:val="00AA49A1"/>
    <w:rsid w:val="00AB0CE1"/>
    <w:rsid w:val="00AB4A40"/>
    <w:rsid w:val="00AB5B22"/>
    <w:rsid w:val="00AB7968"/>
    <w:rsid w:val="00AE5F2E"/>
    <w:rsid w:val="00AF6940"/>
    <w:rsid w:val="00B2020C"/>
    <w:rsid w:val="00B253C0"/>
    <w:rsid w:val="00B50E88"/>
    <w:rsid w:val="00B82BD0"/>
    <w:rsid w:val="00B845E5"/>
    <w:rsid w:val="00BA6752"/>
    <w:rsid w:val="00BC4F2B"/>
    <w:rsid w:val="00BE555A"/>
    <w:rsid w:val="00C035A7"/>
    <w:rsid w:val="00C41164"/>
    <w:rsid w:val="00C550E7"/>
    <w:rsid w:val="00C67A91"/>
    <w:rsid w:val="00C765A3"/>
    <w:rsid w:val="00C81C84"/>
    <w:rsid w:val="00C85216"/>
    <w:rsid w:val="00C931A1"/>
    <w:rsid w:val="00CB1A98"/>
    <w:rsid w:val="00CF1C6D"/>
    <w:rsid w:val="00D10A8C"/>
    <w:rsid w:val="00D236A7"/>
    <w:rsid w:val="00D92C47"/>
    <w:rsid w:val="00D92EE0"/>
    <w:rsid w:val="00DA2C76"/>
    <w:rsid w:val="00DA3F93"/>
    <w:rsid w:val="00DB5C17"/>
    <w:rsid w:val="00DC0868"/>
    <w:rsid w:val="00DD77C3"/>
    <w:rsid w:val="00DE1BF6"/>
    <w:rsid w:val="00E005BA"/>
    <w:rsid w:val="00E42824"/>
    <w:rsid w:val="00E51254"/>
    <w:rsid w:val="00E733DD"/>
    <w:rsid w:val="00EA4176"/>
    <w:rsid w:val="00EA59FE"/>
    <w:rsid w:val="00EC5742"/>
    <w:rsid w:val="00EE2724"/>
    <w:rsid w:val="00F01820"/>
    <w:rsid w:val="00F0492F"/>
    <w:rsid w:val="00F50523"/>
    <w:rsid w:val="00F567DD"/>
    <w:rsid w:val="00F72187"/>
    <w:rsid w:val="00F72464"/>
    <w:rsid w:val="00F86A71"/>
    <w:rsid w:val="00F96EA0"/>
    <w:rsid w:val="00FA2722"/>
    <w:rsid w:val="00FF4CE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A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1A63B1"/>
    <w:rPr>
      <w:rFonts w:ascii="Lucida Grande" w:hAnsi="Lucida Grande"/>
      <w:sz w:val="18"/>
      <w:szCs w:val="18"/>
    </w:rPr>
  </w:style>
  <w:style w:type="character" w:styleId="Hyperlink">
    <w:name w:val="Hyperlink"/>
    <w:basedOn w:val="DefaultParagraphFont"/>
    <w:uiPriority w:val="99"/>
    <w:semiHidden/>
    <w:unhideWhenUsed/>
    <w:rsid w:val="00B253C0"/>
    <w:rPr>
      <w:color w:val="0000FF" w:themeColor="hyperlink"/>
      <w:u w:val="single"/>
    </w:rPr>
  </w:style>
  <w:style w:type="paragraph" w:styleId="ListParagraph">
    <w:name w:val="List Paragraph"/>
    <w:basedOn w:val="Normal"/>
    <w:uiPriority w:val="99"/>
    <w:qFormat/>
    <w:rsid w:val="00E51254"/>
    <w:pPr>
      <w:ind w:left="720"/>
      <w:contextualSpacing/>
    </w:pPr>
  </w:style>
  <w:style w:type="character" w:styleId="FollowedHyperlink">
    <w:name w:val="FollowedHyperlink"/>
    <w:basedOn w:val="DefaultParagraphFont"/>
    <w:uiPriority w:val="99"/>
    <w:semiHidden/>
    <w:unhideWhenUsed/>
    <w:rsid w:val="007B08CA"/>
    <w:rPr>
      <w:color w:val="800080" w:themeColor="followedHyperlink"/>
      <w:u w:val="single"/>
    </w:rPr>
  </w:style>
  <w:style w:type="paragraph" w:styleId="DocumentMap">
    <w:name w:val="Document Map"/>
    <w:basedOn w:val="Normal"/>
    <w:link w:val="DocumentMapChar"/>
    <w:uiPriority w:val="99"/>
    <w:semiHidden/>
    <w:unhideWhenUsed/>
    <w:rsid w:val="00260970"/>
    <w:rPr>
      <w:rFonts w:ascii="Lucida Grande" w:hAnsi="Lucida Grande"/>
    </w:rPr>
  </w:style>
  <w:style w:type="character" w:customStyle="1" w:styleId="DocumentMapChar">
    <w:name w:val="Document Map Char"/>
    <w:basedOn w:val="DefaultParagraphFont"/>
    <w:link w:val="DocumentMap"/>
    <w:uiPriority w:val="99"/>
    <w:semiHidden/>
    <w:rsid w:val="00260970"/>
    <w:rPr>
      <w:rFonts w:ascii="Lucida Grande" w:hAnsi="Lucida Grande"/>
      <w:sz w:val="24"/>
      <w:szCs w:val="24"/>
    </w:rPr>
  </w:style>
  <w:style w:type="character" w:styleId="CommentReference">
    <w:name w:val="annotation reference"/>
    <w:basedOn w:val="DefaultParagraphFont"/>
    <w:uiPriority w:val="99"/>
    <w:semiHidden/>
    <w:unhideWhenUsed/>
    <w:rsid w:val="006342C2"/>
    <w:rPr>
      <w:sz w:val="18"/>
      <w:szCs w:val="18"/>
    </w:rPr>
  </w:style>
  <w:style w:type="paragraph" w:styleId="CommentText">
    <w:name w:val="annotation text"/>
    <w:basedOn w:val="Normal"/>
    <w:link w:val="CommentTextChar"/>
    <w:uiPriority w:val="99"/>
    <w:semiHidden/>
    <w:unhideWhenUsed/>
    <w:rsid w:val="006342C2"/>
  </w:style>
  <w:style w:type="character" w:customStyle="1" w:styleId="CommentTextChar">
    <w:name w:val="Comment Text Char"/>
    <w:basedOn w:val="DefaultParagraphFont"/>
    <w:link w:val="CommentText"/>
    <w:uiPriority w:val="99"/>
    <w:semiHidden/>
    <w:rsid w:val="006342C2"/>
    <w:rPr>
      <w:sz w:val="24"/>
      <w:szCs w:val="24"/>
    </w:rPr>
  </w:style>
  <w:style w:type="paragraph" w:styleId="CommentSubject">
    <w:name w:val="annotation subject"/>
    <w:basedOn w:val="CommentText"/>
    <w:next w:val="CommentText"/>
    <w:link w:val="CommentSubjectChar"/>
    <w:uiPriority w:val="99"/>
    <w:semiHidden/>
    <w:unhideWhenUsed/>
    <w:rsid w:val="006342C2"/>
    <w:rPr>
      <w:b/>
      <w:bCs/>
      <w:sz w:val="20"/>
      <w:szCs w:val="20"/>
    </w:rPr>
  </w:style>
  <w:style w:type="character" w:customStyle="1" w:styleId="CommentSubjectChar">
    <w:name w:val="Comment Subject Char"/>
    <w:basedOn w:val="CommentTextChar"/>
    <w:link w:val="CommentSubject"/>
    <w:uiPriority w:val="99"/>
    <w:semiHidden/>
    <w:rsid w:val="006342C2"/>
    <w:rPr>
      <w:b/>
      <w:bCs/>
    </w:rPr>
  </w:style>
</w:styles>
</file>

<file path=word/webSettings.xml><?xml version="1.0" encoding="utf-8"?>
<w:webSettings xmlns:r="http://schemas.openxmlformats.org/officeDocument/2006/relationships" xmlns:w="http://schemas.openxmlformats.org/wordprocessingml/2006/main">
  <w:divs>
    <w:div w:id="510340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tivationalinterview.org/index.html" TargetMode="External"/><Relationship Id="rId6" Type="http://schemas.openxmlformats.org/officeDocument/2006/relationships/hyperlink" Target="http://www.bu.edu/bniart/sbirt-in-health-care/sbirt-educational-materials/" TargetMode="External"/><Relationship Id="rId7" Type="http://schemas.openxmlformats.org/officeDocument/2006/relationships/hyperlink" Target="http://www.centerforebp.case.edu/resources/tools/the-spirit-of-mi" TargetMode="External"/><Relationship Id="rId8" Type="http://schemas.openxmlformats.org/officeDocument/2006/relationships/hyperlink" Target="http://www.elsevierhealthbehaviorchange.com/assets.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1591</Words>
  <Characters>9070</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Dancing Violet Botanicals</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Snow</dc:creator>
  <cp:keywords/>
  <cp:lastModifiedBy>Rebecca Snow</cp:lastModifiedBy>
  <cp:revision>14</cp:revision>
  <dcterms:created xsi:type="dcterms:W3CDTF">2014-08-23T04:07:00Z</dcterms:created>
  <dcterms:modified xsi:type="dcterms:W3CDTF">2014-09-23T01:24:00Z</dcterms:modified>
</cp:coreProperties>
</file>